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61" w:rsidRDefault="00774B61">
      <w:pPr>
        <w:spacing w:line="600" w:lineRule="exact"/>
        <w:jc w:val="left"/>
        <w:rPr>
          <w:rFonts w:ascii="方正小标宋简体" w:eastAsia="方正小标宋简体" w:hAnsi="宋体"/>
          <w:szCs w:val="21"/>
        </w:rPr>
      </w:pPr>
      <w:bookmarkStart w:id="0" w:name="_Toc15306267"/>
    </w:p>
    <w:p w:rsidR="00774B61" w:rsidRDefault="00774B61">
      <w:pPr>
        <w:pStyle w:val="a3"/>
        <w:spacing w:before="93"/>
      </w:pPr>
    </w:p>
    <w:p w:rsidR="00774B61" w:rsidRDefault="00774B61">
      <w:pPr>
        <w:spacing w:line="600" w:lineRule="exact"/>
        <w:jc w:val="center"/>
        <w:rPr>
          <w:rFonts w:ascii="方正小标宋简体" w:eastAsia="方正小标宋简体" w:hAnsi="宋体"/>
          <w:sz w:val="72"/>
          <w:szCs w:val="72"/>
        </w:rPr>
      </w:pPr>
    </w:p>
    <w:p w:rsidR="00774B61" w:rsidRDefault="00774B61">
      <w:pPr>
        <w:spacing w:line="600" w:lineRule="exact"/>
        <w:jc w:val="center"/>
        <w:rPr>
          <w:rFonts w:ascii="方正小标宋简体" w:eastAsia="方正小标宋简体" w:hAnsi="宋体"/>
          <w:sz w:val="72"/>
          <w:szCs w:val="72"/>
        </w:rPr>
      </w:pPr>
    </w:p>
    <w:p w:rsidR="00774B61" w:rsidRPr="00851118" w:rsidRDefault="00C76726">
      <w:pPr>
        <w:adjustRightInd w:val="0"/>
        <w:snapToGrid w:val="0"/>
        <w:spacing w:line="360" w:lineRule="auto"/>
        <w:jc w:val="center"/>
        <w:outlineLvl w:val="0"/>
        <w:rPr>
          <w:rFonts w:ascii="方正小标宋简体" w:eastAsia="方正小标宋简体" w:hAnsi="方正小标宋简体" w:cs="方正小标宋简体"/>
          <w:sz w:val="44"/>
          <w:szCs w:val="44"/>
        </w:rPr>
      </w:pPr>
      <w:bookmarkStart w:id="1" w:name="_Toc15378441"/>
      <w:bookmarkStart w:id="2" w:name="_Toc15396475"/>
      <w:bookmarkStart w:id="3" w:name="_Toc30257"/>
      <w:bookmarkStart w:id="4" w:name="_Toc15377193"/>
      <w:bookmarkStart w:id="5" w:name="_Toc15396597"/>
      <w:bookmarkStart w:id="6" w:name="_Toc15377425"/>
      <w:r w:rsidRPr="00851118">
        <w:rPr>
          <w:rFonts w:ascii="方正小标宋简体" w:eastAsia="方正小标宋简体" w:hAnsi="方正小标宋简体" w:cs="方正小标宋简体" w:hint="eastAsia"/>
          <w:sz w:val="44"/>
          <w:szCs w:val="44"/>
        </w:rPr>
        <w:t>2023年度</w:t>
      </w:r>
      <w:bookmarkEnd w:id="1"/>
      <w:bookmarkEnd w:id="2"/>
      <w:bookmarkEnd w:id="3"/>
      <w:bookmarkEnd w:id="4"/>
      <w:bookmarkEnd w:id="5"/>
      <w:bookmarkEnd w:id="6"/>
    </w:p>
    <w:p w:rsidR="00774B61" w:rsidRPr="00851118" w:rsidRDefault="00C76726">
      <w:pPr>
        <w:adjustRightInd w:val="0"/>
        <w:snapToGrid w:val="0"/>
        <w:spacing w:line="360" w:lineRule="auto"/>
        <w:jc w:val="center"/>
        <w:outlineLvl w:val="0"/>
        <w:rPr>
          <w:rFonts w:ascii="方正小标宋简体" w:eastAsia="方正小标宋简体" w:hAnsi="方正小标宋简体" w:cs="方正小标宋简体"/>
          <w:sz w:val="44"/>
          <w:szCs w:val="44"/>
        </w:rPr>
      </w:pPr>
      <w:bookmarkStart w:id="7" w:name="_Toc3469"/>
      <w:bookmarkStart w:id="8" w:name="_Toc15377426"/>
      <w:bookmarkStart w:id="9" w:name="_Toc15377194"/>
      <w:bookmarkStart w:id="10" w:name="_Toc15378442"/>
      <w:bookmarkStart w:id="11" w:name="_Toc15396598"/>
      <w:bookmarkStart w:id="12" w:name="_Toc15306268"/>
      <w:bookmarkStart w:id="13" w:name="_Toc15396476"/>
      <w:bookmarkEnd w:id="0"/>
      <w:r w:rsidRPr="00851118">
        <w:rPr>
          <w:rFonts w:ascii="方正小标宋简体" w:eastAsia="方正小标宋简体" w:hAnsi="方正小标宋简体" w:cs="方正小标宋简体" w:hint="eastAsia"/>
          <w:sz w:val="44"/>
          <w:szCs w:val="44"/>
        </w:rPr>
        <w:t>攀西钒钛检验检测院</w:t>
      </w:r>
      <w:bookmarkEnd w:id="7"/>
    </w:p>
    <w:p w:rsidR="00774B61" w:rsidRPr="00851118" w:rsidRDefault="00C76726">
      <w:pPr>
        <w:adjustRightInd w:val="0"/>
        <w:snapToGrid w:val="0"/>
        <w:spacing w:line="360" w:lineRule="auto"/>
        <w:jc w:val="center"/>
        <w:outlineLvl w:val="0"/>
        <w:rPr>
          <w:rFonts w:ascii="方正小标宋简体" w:eastAsia="方正小标宋简体" w:hAnsi="方正小标宋简体" w:cs="方正小标宋简体"/>
          <w:sz w:val="44"/>
          <w:szCs w:val="44"/>
        </w:rPr>
      </w:pPr>
      <w:bookmarkStart w:id="14" w:name="_Toc10290"/>
      <w:r w:rsidRPr="00851118">
        <w:rPr>
          <w:rFonts w:ascii="方正小标宋简体" w:eastAsia="方正小标宋简体" w:hAnsi="方正小标宋简体" w:cs="方正小标宋简体" w:hint="eastAsia"/>
          <w:sz w:val="44"/>
          <w:szCs w:val="44"/>
        </w:rPr>
        <w:t>单位决算</w:t>
      </w:r>
      <w:bookmarkEnd w:id="8"/>
      <w:bookmarkEnd w:id="9"/>
      <w:bookmarkEnd w:id="10"/>
      <w:bookmarkEnd w:id="11"/>
      <w:bookmarkEnd w:id="12"/>
      <w:bookmarkEnd w:id="13"/>
      <w:bookmarkEnd w:id="14"/>
    </w:p>
    <w:p w:rsidR="00F972C1" w:rsidRDefault="00C76726" w:rsidP="00F972C1">
      <w:pPr>
        <w:widowControl/>
        <w:jc w:val="center"/>
        <w:rPr>
          <w:rFonts w:ascii="黑体" w:eastAsia="黑体" w:hAnsi="黑体"/>
          <w:sz w:val="48"/>
          <w:szCs w:val="48"/>
        </w:rPr>
      </w:pPr>
      <w:r>
        <w:rPr>
          <w:rFonts w:ascii="方正小标宋简体" w:eastAsia="方正小标宋简体" w:hAnsi="宋体"/>
          <w:sz w:val="36"/>
          <w:szCs w:val="36"/>
        </w:rPr>
        <w:br w:type="page"/>
      </w:r>
      <w:bookmarkStart w:id="15" w:name="_Toc15377196"/>
      <w:bookmarkStart w:id="16" w:name="_Toc15396599"/>
      <w:bookmarkStart w:id="17" w:name="_Toc22407"/>
      <w:r w:rsidR="00F972C1">
        <w:rPr>
          <w:rFonts w:ascii="黑体" w:eastAsia="黑体" w:hAnsi="黑体" w:hint="eastAsia"/>
          <w:sz w:val="48"/>
          <w:szCs w:val="48"/>
        </w:rPr>
        <w:lastRenderedPageBreak/>
        <w:t>目录</w:t>
      </w:r>
    </w:p>
    <w:p w:rsidR="00F972C1" w:rsidRDefault="00F972C1" w:rsidP="00F972C1">
      <w:pPr>
        <w:widowControl/>
        <w:jc w:val="center"/>
        <w:rPr>
          <w:rFonts w:ascii="黑体" w:eastAsia="黑体" w:hAnsi="黑体"/>
          <w:sz w:val="28"/>
          <w:szCs w:val="28"/>
        </w:rPr>
      </w:pPr>
    </w:p>
    <w:p w:rsidR="00F972C1" w:rsidRDefault="00F972C1" w:rsidP="00F972C1">
      <w:pPr>
        <w:pStyle w:val="10"/>
      </w:pPr>
      <w:r>
        <w:rPr>
          <w:rFonts w:hint="eastAsia"/>
        </w:rPr>
        <w:t>公开时间：2024年9月</w:t>
      </w:r>
      <w:bookmarkStart w:id="18" w:name="_GoBack"/>
      <w:bookmarkEnd w:id="18"/>
      <w:r w:rsidR="00135D24">
        <w:t>18</w:t>
      </w:r>
      <w:r>
        <w:rPr>
          <w:rFonts w:hint="eastAsia"/>
        </w:rPr>
        <w:t>日</w:t>
      </w:r>
    </w:p>
    <w:p w:rsidR="00F972C1" w:rsidRDefault="00F972C1" w:rsidP="00F972C1"/>
    <w:p w:rsidR="00F972C1" w:rsidRDefault="00F972C1" w:rsidP="00F972C1">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单位概况</w:t>
      </w:r>
      <w:r>
        <w:rPr>
          <w:sz w:val="24"/>
          <w:szCs w:val="24"/>
        </w:rPr>
        <w:tab/>
      </w:r>
      <w:r>
        <w:rPr>
          <w:rFonts w:hint="eastAsia"/>
          <w:sz w:val="24"/>
        </w:rPr>
        <w:t>4</w:t>
      </w:r>
    </w:p>
    <w:p w:rsidR="00F972C1" w:rsidRDefault="00F972C1" w:rsidP="00F972C1">
      <w:pPr>
        <w:pStyle w:val="20"/>
        <w:adjustRightInd w:val="0"/>
        <w:snapToGrid w:val="0"/>
        <w:spacing w:line="440" w:lineRule="exact"/>
        <w:ind w:firstLine="480"/>
        <w:jc w:val="left"/>
        <w:rPr>
          <w:sz w:val="24"/>
        </w:rPr>
      </w:pPr>
      <w:r>
        <w:rPr>
          <w:rFonts w:hint="eastAsia"/>
          <w:sz w:val="24"/>
        </w:rPr>
        <w:t>一、主要职责</w:t>
      </w:r>
      <w:r>
        <w:rPr>
          <w:sz w:val="24"/>
        </w:rPr>
        <w:tab/>
      </w:r>
      <w:r>
        <w:rPr>
          <w:rFonts w:hint="eastAsia"/>
          <w:sz w:val="24"/>
        </w:rPr>
        <w:t>4</w:t>
      </w:r>
    </w:p>
    <w:p w:rsidR="00F972C1" w:rsidRDefault="00F972C1" w:rsidP="00F972C1">
      <w:pPr>
        <w:pStyle w:val="20"/>
        <w:adjustRightInd w:val="0"/>
        <w:snapToGrid w:val="0"/>
        <w:spacing w:line="440" w:lineRule="exact"/>
        <w:ind w:firstLine="480"/>
        <w:jc w:val="left"/>
      </w:pPr>
      <w:r>
        <w:rPr>
          <w:rFonts w:hint="eastAsia"/>
          <w:sz w:val="24"/>
        </w:rPr>
        <w:t>二、机构设置</w:t>
      </w:r>
      <w:r>
        <w:rPr>
          <w:sz w:val="24"/>
        </w:rPr>
        <w:tab/>
      </w:r>
      <w:r w:rsidR="00114501">
        <w:rPr>
          <w:sz w:val="24"/>
        </w:rPr>
        <w:t>5</w:t>
      </w:r>
    </w:p>
    <w:p w:rsidR="00F972C1" w:rsidRDefault="00F972C1" w:rsidP="00F972C1">
      <w:pPr>
        <w:pStyle w:val="10"/>
        <w:adjustRightInd w:val="0"/>
        <w:snapToGrid w:val="0"/>
        <w:spacing w:before="0" w:line="440" w:lineRule="exact"/>
        <w:jc w:val="left"/>
        <w:rPr>
          <w:sz w:val="24"/>
          <w:szCs w:val="24"/>
        </w:rPr>
      </w:pPr>
      <w:r>
        <w:rPr>
          <w:rFonts w:hint="eastAsia"/>
          <w:sz w:val="24"/>
        </w:rPr>
        <w:t>第二部分 2023年度单位决算情况说明</w:t>
      </w:r>
      <w:r>
        <w:rPr>
          <w:sz w:val="24"/>
          <w:szCs w:val="24"/>
        </w:rPr>
        <w:tab/>
      </w:r>
      <w:r w:rsidR="00114501">
        <w:rPr>
          <w:sz w:val="24"/>
        </w:rPr>
        <w:t>6</w:t>
      </w:r>
    </w:p>
    <w:p w:rsidR="00F972C1" w:rsidRDefault="00F972C1" w:rsidP="00F972C1">
      <w:pPr>
        <w:pStyle w:val="20"/>
        <w:adjustRightInd w:val="0"/>
        <w:snapToGrid w:val="0"/>
        <w:spacing w:line="440" w:lineRule="exact"/>
        <w:ind w:firstLine="480"/>
        <w:jc w:val="left"/>
        <w:rPr>
          <w:rFonts w:ascii="仿宋" w:eastAsia="仿宋" w:hAnsi="仿宋"/>
          <w:sz w:val="24"/>
        </w:rPr>
      </w:pPr>
      <w:r>
        <w:rPr>
          <w:rFonts w:hint="eastAsia"/>
          <w:sz w:val="24"/>
        </w:rPr>
        <w:t>一、收入支出决算总体情况说明</w:t>
      </w:r>
      <w:r>
        <w:rPr>
          <w:sz w:val="24"/>
        </w:rPr>
        <w:tab/>
      </w:r>
      <w:r w:rsidR="00114501">
        <w:rPr>
          <w:sz w:val="24"/>
        </w:rPr>
        <w:t>6</w:t>
      </w:r>
    </w:p>
    <w:p w:rsidR="00F972C1" w:rsidRDefault="00F972C1" w:rsidP="00F972C1">
      <w:pPr>
        <w:pStyle w:val="20"/>
        <w:adjustRightInd w:val="0"/>
        <w:snapToGrid w:val="0"/>
        <w:spacing w:line="440" w:lineRule="exact"/>
        <w:ind w:firstLine="480"/>
        <w:jc w:val="left"/>
        <w:rPr>
          <w:rFonts w:ascii="仿宋" w:eastAsia="仿宋" w:hAnsi="仿宋"/>
          <w:sz w:val="24"/>
        </w:rPr>
      </w:pPr>
      <w:r>
        <w:rPr>
          <w:rFonts w:hint="eastAsia"/>
          <w:sz w:val="24"/>
        </w:rPr>
        <w:t>二、收入决算情况说明</w:t>
      </w:r>
      <w:r>
        <w:rPr>
          <w:sz w:val="24"/>
        </w:rPr>
        <w:tab/>
      </w:r>
      <w:r w:rsidR="00114501">
        <w:rPr>
          <w:sz w:val="24"/>
        </w:rPr>
        <w:t>6</w:t>
      </w:r>
    </w:p>
    <w:p w:rsidR="00F972C1" w:rsidRDefault="00F972C1" w:rsidP="00F972C1">
      <w:pPr>
        <w:pStyle w:val="20"/>
        <w:adjustRightInd w:val="0"/>
        <w:snapToGrid w:val="0"/>
        <w:spacing w:line="440" w:lineRule="exact"/>
        <w:ind w:firstLine="480"/>
        <w:jc w:val="left"/>
        <w:rPr>
          <w:rFonts w:ascii="仿宋" w:eastAsia="仿宋" w:hAnsi="仿宋"/>
          <w:sz w:val="24"/>
        </w:rPr>
      </w:pPr>
      <w:r>
        <w:rPr>
          <w:rFonts w:hint="eastAsia"/>
          <w:sz w:val="24"/>
        </w:rPr>
        <w:t>三、支出决算情况说明</w:t>
      </w:r>
      <w:r>
        <w:rPr>
          <w:sz w:val="24"/>
        </w:rPr>
        <w:tab/>
      </w:r>
      <w:r w:rsidR="00114501">
        <w:rPr>
          <w:sz w:val="24"/>
        </w:rPr>
        <w:t>7</w:t>
      </w:r>
    </w:p>
    <w:p w:rsidR="00F972C1" w:rsidRDefault="00F972C1" w:rsidP="00F972C1">
      <w:pPr>
        <w:pStyle w:val="20"/>
        <w:adjustRightInd w:val="0"/>
        <w:snapToGrid w:val="0"/>
        <w:spacing w:line="440" w:lineRule="exact"/>
        <w:ind w:firstLine="480"/>
        <w:jc w:val="left"/>
        <w:rPr>
          <w:rFonts w:ascii="仿宋" w:eastAsia="仿宋" w:hAnsi="仿宋"/>
          <w:sz w:val="24"/>
        </w:rPr>
      </w:pPr>
      <w:r>
        <w:rPr>
          <w:rFonts w:hint="eastAsia"/>
          <w:sz w:val="24"/>
        </w:rPr>
        <w:t>四、财政拨款收入支出决算总体情况说明</w:t>
      </w:r>
      <w:r>
        <w:rPr>
          <w:sz w:val="24"/>
        </w:rPr>
        <w:tab/>
      </w:r>
      <w:r w:rsidR="00114501">
        <w:rPr>
          <w:sz w:val="24"/>
        </w:rPr>
        <w:t>8</w:t>
      </w:r>
    </w:p>
    <w:p w:rsidR="00F972C1" w:rsidRDefault="00F972C1" w:rsidP="00F972C1">
      <w:pPr>
        <w:pStyle w:val="20"/>
        <w:adjustRightInd w:val="0"/>
        <w:snapToGrid w:val="0"/>
        <w:spacing w:line="440" w:lineRule="exact"/>
        <w:ind w:firstLine="480"/>
        <w:jc w:val="left"/>
        <w:rPr>
          <w:rFonts w:ascii="仿宋" w:eastAsia="仿宋" w:hAnsi="仿宋"/>
          <w:sz w:val="24"/>
        </w:rPr>
      </w:pPr>
      <w:r>
        <w:rPr>
          <w:rFonts w:hint="eastAsia"/>
          <w:sz w:val="24"/>
        </w:rPr>
        <w:t>五、一般公共预算财政拨款支出决算情况说明</w:t>
      </w:r>
      <w:r>
        <w:rPr>
          <w:sz w:val="24"/>
        </w:rPr>
        <w:tab/>
      </w:r>
      <w:r w:rsidR="00114501">
        <w:rPr>
          <w:sz w:val="24"/>
        </w:rPr>
        <w:t>8</w:t>
      </w:r>
    </w:p>
    <w:p w:rsidR="00F972C1" w:rsidRDefault="00F972C1" w:rsidP="00F972C1">
      <w:pPr>
        <w:pStyle w:val="20"/>
        <w:adjustRightInd w:val="0"/>
        <w:snapToGrid w:val="0"/>
        <w:spacing w:line="440" w:lineRule="exact"/>
        <w:ind w:firstLine="480"/>
        <w:jc w:val="left"/>
        <w:rPr>
          <w:rFonts w:ascii="仿宋" w:eastAsia="仿宋" w:hAnsi="仿宋"/>
          <w:sz w:val="24"/>
        </w:rPr>
      </w:pPr>
      <w:r>
        <w:rPr>
          <w:rFonts w:hint="eastAsia"/>
          <w:sz w:val="24"/>
        </w:rPr>
        <w:t>六、一般公共预算财政拨款基本支出决算情况说明</w:t>
      </w:r>
      <w:r>
        <w:rPr>
          <w:sz w:val="24"/>
        </w:rPr>
        <w:tab/>
        <w:t>11</w:t>
      </w:r>
    </w:p>
    <w:p w:rsidR="00F972C1" w:rsidRDefault="00F972C1" w:rsidP="00F972C1">
      <w:pPr>
        <w:pStyle w:val="20"/>
        <w:adjustRightInd w:val="0"/>
        <w:snapToGrid w:val="0"/>
        <w:spacing w:line="440" w:lineRule="exact"/>
        <w:ind w:firstLine="480"/>
        <w:jc w:val="left"/>
        <w:rPr>
          <w:rFonts w:ascii="仿宋" w:eastAsia="仿宋" w:hAnsi="仿宋"/>
          <w:sz w:val="24"/>
        </w:rPr>
      </w:pPr>
      <w:r>
        <w:rPr>
          <w:rFonts w:hint="eastAsia"/>
          <w:sz w:val="24"/>
        </w:rPr>
        <w:t>七、财政拨款“三公”经费支出决算情况说明</w:t>
      </w:r>
      <w:r>
        <w:rPr>
          <w:sz w:val="24"/>
        </w:rPr>
        <w:tab/>
        <w:t>12</w:t>
      </w:r>
    </w:p>
    <w:p w:rsidR="00F972C1" w:rsidRDefault="00F972C1" w:rsidP="00F972C1">
      <w:pPr>
        <w:pStyle w:val="20"/>
        <w:adjustRightInd w:val="0"/>
        <w:snapToGrid w:val="0"/>
        <w:spacing w:line="440" w:lineRule="exact"/>
        <w:ind w:firstLine="480"/>
        <w:jc w:val="left"/>
        <w:rPr>
          <w:rFonts w:ascii="仿宋" w:eastAsia="仿宋" w:hAnsi="仿宋"/>
          <w:sz w:val="24"/>
        </w:rPr>
      </w:pPr>
      <w:r>
        <w:rPr>
          <w:rFonts w:hint="eastAsia"/>
          <w:sz w:val="24"/>
        </w:rPr>
        <w:t>八、政府性基金预算支出决算情况说明</w:t>
      </w:r>
      <w:r>
        <w:rPr>
          <w:sz w:val="24"/>
        </w:rPr>
        <w:tab/>
        <w:t>14</w:t>
      </w:r>
    </w:p>
    <w:p w:rsidR="00F972C1" w:rsidRDefault="00F972C1" w:rsidP="00F972C1">
      <w:pPr>
        <w:pStyle w:val="20"/>
        <w:adjustRightInd w:val="0"/>
        <w:snapToGrid w:val="0"/>
        <w:spacing w:line="440" w:lineRule="exact"/>
        <w:ind w:firstLine="480"/>
        <w:jc w:val="left"/>
        <w:rPr>
          <w:sz w:val="24"/>
        </w:rPr>
      </w:pPr>
      <w:r>
        <w:rPr>
          <w:rFonts w:hint="eastAsia"/>
          <w:sz w:val="24"/>
        </w:rPr>
        <w:t>九、国有资本经营预算支出决算情况说明</w:t>
      </w:r>
      <w:r>
        <w:rPr>
          <w:sz w:val="24"/>
        </w:rPr>
        <w:tab/>
        <w:t>14</w:t>
      </w:r>
    </w:p>
    <w:p w:rsidR="00F972C1" w:rsidRDefault="00F972C1" w:rsidP="00F972C1">
      <w:pPr>
        <w:pStyle w:val="20"/>
        <w:adjustRightInd w:val="0"/>
        <w:snapToGrid w:val="0"/>
        <w:spacing w:line="440" w:lineRule="exact"/>
        <w:ind w:firstLine="480"/>
        <w:jc w:val="left"/>
        <w:rPr>
          <w:sz w:val="24"/>
        </w:rPr>
      </w:pPr>
      <w:r>
        <w:rPr>
          <w:rFonts w:hint="eastAsia"/>
          <w:sz w:val="24"/>
        </w:rPr>
        <w:t>十、其他重要事项的情况说明</w:t>
      </w:r>
      <w:r>
        <w:rPr>
          <w:sz w:val="24"/>
        </w:rPr>
        <w:tab/>
      </w:r>
      <w:r>
        <w:rPr>
          <w:rFonts w:hint="eastAsia"/>
          <w:sz w:val="24"/>
        </w:rPr>
        <w:t>14</w:t>
      </w:r>
    </w:p>
    <w:p w:rsidR="00F972C1" w:rsidRDefault="00F972C1" w:rsidP="00F972C1">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Pr>
          <w:sz w:val="24"/>
        </w:rPr>
        <w:tab/>
      </w:r>
      <w:r w:rsidR="00114501">
        <w:rPr>
          <w:sz w:val="24"/>
        </w:rPr>
        <w:t>16</w:t>
      </w:r>
    </w:p>
    <w:p w:rsidR="00F972C1" w:rsidRDefault="00F972C1" w:rsidP="00F972C1">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Pr>
          <w:sz w:val="24"/>
        </w:rPr>
        <w:tab/>
      </w:r>
      <w:r w:rsidR="00114501">
        <w:rPr>
          <w:sz w:val="24"/>
        </w:rPr>
        <w:t>19</w:t>
      </w:r>
    </w:p>
    <w:p w:rsidR="00F972C1" w:rsidRDefault="00F972C1" w:rsidP="00F972C1">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sz w:val="24"/>
        </w:rPr>
        <w:tab/>
      </w:r>
      <w:r w:rsidR="00114501">
        <w:rPr>
          <w:sz w:val="24"/>
        </w:rPr>
        <w:t>20</w:t>
      </w:r>
    </w:p>
    <w:p w:rsidR="00F972C1" w:rsidRDefault="00F972C1" w:rsidP="00F972C1">
      <w:pPr>
        <w:pStyle w:val="20"/>
        <w:adjustRightInd w:val="0"/>
        <w:snapToGrid w:val="0"/>
        <w:spacing w:line="440" w:lineRule="exact"/>
        <w:ind w:firstLine="480"/>
        <w:jc w:val="left"/>
        <w:rPr>
          <w:sz w:val="24"/>
        </w:rPr>
      </w:pPr>
      <w:r>
        <w:rPr>
          <w:rFonts w:hint="eastAsia"/>
          <w:sz w:val="24"/>
        </w:rPr>
        <w:t>一、收入支出决算总表</w:t>
      </w:r>
      <w:r>
        <w:rPr>
          <w:sz w:val="24"/>
        </w:rPr>
        <w:tab/>
      </w:r>
      <w:r w:rsidR="00114501">
        <w:rPr>
          <w:sz w:val="24"/>
        </w:rPr>
        <w:t>20</w:t>
      </w:r>
    </w:p>
    <w:p w:rsidR="00F972C1" w:rsidRDefault="00F972C1" w:rsidP="00F972C1">
      <w:pPr>
        <w:pStyle w:val="20"/>
        <w:adjustRightInd w:val="0"/>
        <w:snapToGrid w:val="0"/>
        <w:spacing w:line="440" w:lineRule="exact"/>
        <w:ind w:firstLine="480"/>
        <w:jc w:val="left"/>
        <w:rPr>
          <w:sz w:val="24"/>
        </w:rPr>
      </w:pPr>
      <w:r>
        <w:rPr>
          <w:rFonts w:hint="eastAsia"/>
          <w:sz w:val="24"/>
        </w:rPr>
        <w:t>二、收入决算表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三、支出决算表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四、财政拨款收入支出决算总表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五、财政拨款支出决算明细表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六、一般公共预算财政拨款支出决算表</w:t>
      </w:r>
      <w:r>
        <w:rPr>
          <w:sz w:val="24"/>
        </w:rPr>
        <w:tab/>
        <w:t>2</w:t>
      </w:r>
      <w:r w:rsidR="00114501">
        <w:rPr>
          <w:sz w:val="24"/>
        </w:rPr>
        <w:t>0</w:t>
      </w:r>
    </w:p>
    <w:p w:rsidR="00F972C1" w:rsidRDefault="00F972C1" w:rsidP="00F972C1">
      <w:pPr>
        <w:widowControl/>
        <w:jc w:val="center"/>
        <w:rPr>
          <w:rFonts w:ascii="黑体" w:eastAsia="黑体" w:hAnsi="黑体"/>
        </w:rPr>
      </w:pPr>
    </w:p>
    <w:p w:rsidR="00F972C1" w:rsidRDefault="00F972C1" w:rsidP="00F972C1">
      <w:pPr>
        <w:widowControl/>
        <w:jc w:val="center"/>
        <w:rPr>
          <w:rFonts w:ascii="黑体" w:eastAsia="黑体" w:hAnsi="黑体"/>
        </w:rPr>
      </w:pPr>
    </w:p>
    <w:p w:rsidR="00F972C1" w:rsidRDefault="00F972C1" w:rsidP="00F972C1">
      <w:pPr>
        <w:widowControl/>
        <w:jc w:val="center"/>
        <w:rPr>
          <w:rFonts w:ascii="黑体" w:eastAsia="黑体" w:hAnsi="黑体"/>
        </w:rPr>
      </w:pPr>
    </w:p>
    <w:p w:rsidR="00F972C1" w:rsidRDefault="00F972C1" w:rsidP="00F972C1">
      <w:pPr>
        <w:widowControl/>
        <w:jc w:val="center"/>
        <w:rPr>
          <w:rFonts w:ascii="黑体" w:eastAsia="黑体" w:hAnsi="黑体"/>
        </w:rPr>
      </w:pPr>
    </w:p>
    <w:p w:rsidR="00F972C1" w:rsidRDefault="00F972C1" w:rsidP="00F972C1">
      <w:pPr>
        <w:widowControl/>
        <w:jc w:val="center"/>
        <w:rPr>
          <w:rFonts w:ascii="黑体" w:eastAsia="黑体" w:hAnsi="黑体"/>
        </w:rPr>
      </w:pPr>
    </w:p>
    <w:p w:rsidR="00F972C1" w:rsidRDefault="00F972C1" w:rsidP="00F972C1">
      <w:pPr>
        <w:widowControl/>
        <w:jc w:val="center"/>
        <w:rPr>
          <w:rFonts w:ascii="黑体" w:eastAsia="黑体" w:hAnsi="黑体"/>
        </w:rPr>
      </w:pPr>
    </w:p>
    <w:p w:rsidR="00F972C1" w:rsidRDefault="00F972C1" w:rsidP="00F972C1">
      <w:pPr>
        <w:pStyle w:val="20"/>
        <w:adjustRightInd w:val="0"/>
        <w:snapToGrid w:val="0"/>
        <w:spacing w:line="440" w:lineRule="exact"/>
        <w:ind w:firstLine="480"/>
        <w:jc w:val="left"/>
        <w:rPr>
          <w:sz w:val="24"/>
        </w:rPr>
      </w:pPr>
      <w:r>
        <w:rPr>
          <w:rFonts w:hint="eastAsia"/>
          <w:sz w:val="24"/>
        </w:rPr>
        <w:t>七、一般公共预算财政拨款支出决算明细表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八、一般公共预算财政拨款基本支出决算明细表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九、一般公共预算财政拨款项目支出决算表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十、政府性基金预算财政拨款收入支出决算表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十一、国有资本经营预算财政拨款收入支出决算表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十二、国有资本经营预算财政拨款支出决算表</w:t>
      </w:r>
      <w:r>
        <w:rPr>
          <w:sz w:val="24"/>
        </w:rPr>
        <w:tab/>
        <w:t>2</w:t>
      </w:r>
      <w:r w:rsidR="00114501">
        <w:rPr>
          <w:sz w:val="24"/>
        </w:rPr>
        <w:t>0</w:t>
      </w:r>
    </w:p>
    <w:p w:rsidR="00F972C1" w:rsidRDefault="00F972C1" w:rsidP="00F972C1">
      <w:pPr>
        <w:pStyle w:val="20"/>
        <w:adjustRightInd w:val="0"/>
        <w:snapToGrid w:val="0"/>
        <w:spacing w:line="440" w:lineRule="exact"/>
        <w:ind w:firstLine="480"/>
        <w:jc w:val="left"/>
        <w:rPr>
          <w:sz w:val="24"/>
        </w:rPr>
      </w:pPr>
      <w:r>
        <w:rPr>
          <w:rFonts w:hint="eastAsia"/>
          <w:sz w:val="24"/>
        </w:rPr>
        <w:t>十三、财政拨款“三公”经费支出决算表</w:t>
      </w:r>
      <w:r>
        <w:rPr>
          <w:sz w:val="24"/>
        </w:rPr>
        <w:tab/>
        <w:t>2</w:t>
      </w:r>
      <w:r w:rsidR="00114501">
        <w:rPr>
          <w:sz w:val="24"/>
        </w:rPr>
        <w:t>0</w:t>
      </w:r>
    </w:p>
    <w:p w:rsidR="00F972C1" w:rsidRDefault="00F972C1" w:rsidP="00F972C1">
      <w:pPr>
        <w:widowControl/>
        <w:spacing w:line="440" w:lineRule="exact"/>
        <w:jc w:val="left"/>
        <w:rPr>
          <w:rFonts w:ascii="仿宋" w:eastAsia="仿宋" w:hAnsi="仿宋"/>
          <w:bCs/>
          <w:kern w:val="44"/>
          <w:sz w:val="24"/>
        </w:rPr>
      </w:pPr>
      <w:r>
        <w:rPr>
          <w:rFonts w:ascii="仿宋" w:eastAsia="仿宋" w:hAnsi="仿宋"/>
          <w:b/>
          <w:sz w:val="24"/>
        </w:rPr>
        <w:br w:type="page"/>
      </w:r>
    </w:p>
    <w:p w:rsidR="00F972C1" w:rsidRPr="00F972C1" w:rsidRDefault="00F972C1" w:rsidP="00F972C1">
      <w:pPr>
        <w:widowControl/>
        <w:jc w:val="center"/>
        <w:rPr>
          <w:rFonts w:ascii="黑体" w:eastAsia="黑体" w:hAnsi="黑体"/>
        </w:rPr>
      </w:pPr>
    </w:p>
    <w:p w:rsidR="00F972C1" w:rsidRDefault="00F972C1" w:rsidP="00F972C1">
      <w:pPr>
        <w:widowControl/>
        <w:rPr>
          <w:rFonts w:ascii="黑体" w:eastAsia="黑体" w:hAnsi="黑体"/>
        </w:rPr>
      </w:pPr>
    </w:p>
    <w:p w:rsidR="00774B61" w:rsidRDefault="00C76726" w:rsidP="00F972C1">
      <w:pPr>
        <w:widowControl/>
        <w:jc w:val="center"/>
        <w:rPr>
          <w:rFonts w:ascii="黑体" w:eastAsia="黑体"/>
          <w:sz w:val="32"/>
          <w:szCs w:val="32"/>
          <w:u w:val="single"/>
        </w:rPr>
      </w:pPr>
      <w:r w:rsidRPr="00F972C1">
        <w:rPr>
          <w:rStyle w:val="1Char"/>
          <w:rFonts w:ascii="黑体" w:hAnsi="黑体" w:hint="eastAsia"/>
        </w:rPr>
        <w:t>第一部分</w:t>
      </w:r>
      <w:r w:rsidRPr="00F972C1">
        <w:rPr>
          <w:rStyle w:val="1Char"/>
          <w:rFonts w:ascii="黑体" w:hAnsi="黑体" w:hint="eastAsia"/>
        </w:rPr>
        <w:t xml:space="preserve"> </w:t>
      </w:r>
      <w:r w:rsidRPr="00F972C1">
        <w:rPr>
          <w:rStyle w:val="1Char"/>
          <w:rFonts w:ascii="黑体" w:hAnsi="黑体" w:hint="eastAsia"/>
        </w:rPr>
        <w:t>单位</w:t>
      </w:r>
      <w:r>
        <w:rPr>
          <w:rStyle w:val="1Char"/>
          <w:rFonts w:ascii="黑体" w:eastAsia="黑体" w:hAnsi="黑体" w:hint="eastAsia"/>
          <w:b w:val="0"/>
          <w:bCs w:val="0"/>
        </w:rPr>
        <w:t>概况</w:t>
      </w:r>
      <w:bookmarkEnd w:id="15"/>
      <w:bookmarkEnd w:id="16"/>
      <w:bookmarkEnd w:id="17"/>
    </w:p>
    <w:p w:rsidR="00774B61" w:rsidRDefault="00C76726">
      <w:pPr>
        <w:pStyle w:val="2"/>
        <w:numPr>
          <w:ilvl w:val="0"/>
          <w:numId w:val="1"/>
        </w:numPr>
        <w:spacing w:line="326" w:lineRule="auto"/>
        <w:rPr>
          <w:rStyle w:val="2Char"/>
          <w:rFonts w:ascii="黑体" w:eastAsia="黑体" w:hAnsi="黑体"/>
        </w:rPr>
      </w:pPr>
      <w:bookmarkStart w:id="19" w:name="_Toc10094"/>
      <w:bookmarkStart w:id="20" w:name="_Toc15396600"/>
      <w:bookmarkStart w:id="21" w:name="_Toc15377197"/>
      <w:r>
        <w:rPr>
          <w:rStyle w:val="2Char"/>
          <w:rFonts w:ascii="黑体" w:eastAsia="黑体" w:hAnsi="黑体" w:hint="eastAsia"/>
        </w:rPr>
        <w:t>主要职责</w:t>
      </w:r>
      <w:bookmarkEnd w:id="19"/>
    </w:p>
    <w:p w:rsidR="00774B61" w:rsidRPr="00557F80" w:rsidRDefault="00C76726" w:rsidP="00557F80">
      <w:pPr>
        <w:spacing w:line="32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攀西院主要职责：承担钒钛制品、工业产（商）品等质量安全监督检验，受理第三方申请的委托检验和仲裁检验；提供社会公正计量服务；承担特种设备安全检验检测及咨询服务；承担2个标委会（全国钒钛磁铁矿综合利用标准化技术委员会（SAC/TC579）、中国材料与试验标准化委员会钒钛综合利用标准化领域委员会（CSTM/FC20））秘书处日常工作，组织和制（修）订相关标准；组织钒钛领域学术交流、标准宣贯，开展钒钛领域检测方法研究和仪器设备研发；负责研究建立、保存社会公用计量标准，进行量值传递，执行强制和法律规定的其他检定测试任务，为实施计量监督提供技术保证，承办有关法制计量工作；承担能效测试、计量仲裁检定工作。承担全市药品、医疗器械、药品包装材料、消费环节食品、保健食品、化妆品等相关的检验检测工作；承担全市药品不良反应检测和药物质量研究工作。开展钒钛钢铁领域招商引资、项目建设推进等工作；组织、参与钒钛钢铁领域重大商贸活动。</w:t>
      </w:r>
    </w:p>
    <w:p w:rsidR="00774B61" w:rsidRDefault="00C76726">
      <w:pPr>
        <w:pStyle w:val="2"/>
        <w:numPr>
          <w:ilvl w:val="0"/>
          <w:numId w:val="1"/>
        </w:numPr>
        <w:spacing w:line="326" w:lineRule="auto"/>
        <w:rPr>
          <w:rFonts w:ascii="黑体" w:eastAsia="黑体" w:hAnsi="黑体"/>
          <w:b w:val="0"/>
        </w:rPr>
      </w:pPr>
      <w:bookmarkStart w:id="22" w:name="_Toc19188"/>
      <w:r>
        <w:rPr>
          <w:rFonts w:ascii="黑体" w:eastAsia="黑体" w:hAnsi="黑体" w:hint="eastAsia"/>
          <w:b w:val="0"/>
        </w:rPr>
        <w:lastRenderedPageBreak/>
        <w:t>机构设置</w:t>
      </w:r>
      <w:bookmarkEnd w:id="22"/>
    </w:p>
    <w:p w:rsidR="00774B61" w:rsidRDefault="00C76726">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攀西院由原市食品药品检验所、市计量测试研究所、市产品质量监督检验所、市特种设备监督检验所于2019年8月正式整合组建，为市市场监督管理局所属副县级公益二类事业单位，是目前攀西地区最大的、攀枝花市唯一的综合性检验检测机构，为保障我市“四大安全”、民生计量服务等提供了强有力的专业技术支撑。内设部门11个（</w:t>
      </w:r>
      <w:r>
        <w:rPr>
          <w:rFonts w:ascii="仿宋_GB2312" w:eastAsia="仿宋_GB2312" w:hAnsi="仿宋_GB2312" w:cs="仿宋_GB2312" w:hint="eastAsia"/>
          <w:color w:val="000000"/>
          <w:kern w:val="0"/>
          <w:sz w:val="32"/>
          <w:szCs w:val="32"/>
          <w:lang w:bidi="ar"/>
        </w:rPr>
        <w:t>办公室、人力资源部、财务部、科学技术部、质量部、项目开发部、质检事务部、计量事务部、 特检事务部、药品事务部、党委办公室</w:t>
      </w:r>
      <w:r>
        <w:rPr>
          <w:rFonts w:ascii="仿宋_GB2312" w:eastAsia="仿宋_GB2312" w:hAnsi="仿宋_GB2312" w:cs="仿宋_GB2312" w:hint="eastAsia"/>
          <w:sz w:val="32"/>
          <w:szCs w:val="32"/>
        </w:rPr>
        <w:t>），核定编制145人。</w:t>
      </w:r>
    </w:p>
    <w:bookmarkEnd w:id="20"/>
    <w:bookmarkEnd w:id="21"/>
    <w:p w:rsidR="00774B61" w:rsidRDefault="00C76726">
      <w:pPr>
        <w:widowControl/>
        <w:jc w:val="left"/>
        <w:rPr>
          <w:rFonts w:ascii="仿宋" w:eastAsia="仿宋" w:hAnsi="仿宋"/>
          <w:kern w:val="0"/>
          <w:sz w:val="32"/>
          <w:szCs w:val="32"/>
        </w:rPr>
      </w:pPr>
      <w:r>
        <w:rPr>
          <w:rFonts w:ascii="仿宋" w:eastAsia="仿宋" w:hAnsi="仿宋"/>
          <w:sz w:val="32"/>
          <w:szCs w:val="32"/>
        </w:rPr>
        <w:br w:type="page"/>
      </w:r>
    </w:p>
    <w:p w:rsidR="00774B61" w:rsidRDefault="00C76726">
      <w:pPr>
        <w:pStyle w:val="1"/>
        <w:ind w:right="440"/>
        <w:jc w:val="center"/>
        <w:rPr>
          <w:rStyle w:val="1Char"/>
          <w:rFonts w:ascii="黑体" w:eastAsia="黑体" w:hAnsi="黑体"/>
          <w:bCs/>
        </w:rPr>
      </w:pPr>
      <w:bookmarkStart w:id="23" w:name="_Toc24542"/>
      <w:bookmarkStart w:id="24" w:name="_Toc15396602"/>
      <w:bookmarkStart w:id="25" w:name="_Toc15377204"/>
      <w:r>
        <w:rPr>
          <w:rFonts w:ascii="黑体" w:eastAsia="黑体" w:hAnsi="黑体" w:hint="eastAsia"/>
          <w:b w:val="0"/>
        </w:rPr>
        <w:lastRenderedPageBreak/>
        <w:t>第二部分 2023年度</w:t>
      </w:r>
      <w:r>
        <w:rPr>
          <w:rStyle w:val="1Char"/>
          <w:rFonts w:ascii="黑体" w:eastAsia="黑体" w:hAnsi="黑体" w:hint="eastAsia"/>
          <w:bCs/>
        </w:rPr>
        <w:t>单位决算情况说明</w:t>
      </w:r>
      <w:bookmarkEnd w:id="23"/>
      <w:bookmarkEnd w:id="24"/>
      <w:bookmarkEnd w:id="25"/>
    </w:p>
    <w:p w:rsidR="00774B61" w:rsidRDefault="00774B61"/>
    <w:p w:rsidR="00774B61" w:rsidRDefault="00C76726">
      <w:pPr>
        <w:pStyle w:val="aa"/>
        <w:numPr>
          <w:ilvl w:val="0"/>
          <w:numId w:val="2"/>
        </w:numPr>
        <w:spacing w:line="600" w:lineRule="exact"/>
        <w:ind w:firstLineChars="0"/>
        <w:outlineLvl w:val="1"/>
        <w:rPr>
          <w:rStyle w:val="22"/>
          <w:rFonts w:ascii="黑体" w:eastAsia="黑体" w:hAnsi="黑体"/>
          <w:b w:val="0"/>
        </w:rPr>
      </w:pPr>
      <w:bookmarkStart w:id="26" w:name="_Toc15377205"/>
      <w:bookmarkStart w:id="27" w:name="_Toc15396603"/>
      <w:bookmarkStart w:id="28" w:name="_Toc14113"/>
      <w:r>
        <w:rPr>
          <w:rFonts w:ascii="黑体" w:eastAsia="黑体" w:hAnsi="黑体" w:hint="eastAsia"/>
          <w:sz w:val="32"/>
          <w:szCs w:val="32"/>
        </w:rPr>
        <w:t>收</w:t>
      </w:r>
      <w:r>
        <w:rPr>
          <w:rStyle w:val="22"/>
          <w:rFonts w:ascii="黑体" w:eastAsia="黑体" w:hAnsi="黑体" w:hint="eastAsia"/>
          <w:b w:val="0"/>
        </w:rPr>
        <w:t>入支出决算总体情况说明</w:t>
      </w:r>
      <w:bookmarkEnd w:id="26"/>
      <w:bookmarkEnd w:id="27"/>
      <w:bookmarkEnd w:id="28"/>
    </w:p>
    <w:p w:rsidR="00774B61" w:rsidRDefault="00C767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2023年度收、支总计均为5785.15万元。与2022年度相比，收、支总计各增加740.50万元，增长15%。主要变动原因是财政保障模式更改，收入支出相应增加。</w:t>
      </w:r>
    </w:p>
    <w:p w:rsidR="00774B61" w:rsidRDefault="003F6E89">
      <w:pPr>
        <w:spacing w:line="600" w:lineRule="exact"/>
        <w:ind w:firstLineChars="200" w:firstLine="640"/>
        <w:rPr>
          <w:rFonts w:ascii="仿宋_GB2312" w:eastAsia="仿宋_GB2312" w:hAnsi="仿宋_GB2312" w:cs="仿宋_GB2312"/>
          <w:sz w:val="32"/>
          <w:szCs w:val="32"/>
        </w:rPr>
      </w:pPr>
      <w:r>
        <w:rPr>
          <w:rFonts w:ascii="仿宋_GB2312" w:eastAsia="仿宋_GB2312" w:hAnsi="宋体" w:cs="仿宋_GB2312"/>
          <w:noProof/>
          <w:color w:val="000000"/>
          <w:kern w:val="0"/>
          <w:sz w:val="32"/>
          <w:szCs w:val="32"/>
        </w:rPr>
        <w:drawing>
          <wp:anchor distT="0" distB="0" distL="0" distR="0" simplePos="0" relativeHeight="251649536" behindDoc="0" locked="0" layoutInCell="1" allowOverlap="1" wp14:anchorId="42F01D48" wp14:editId="10A02BE0">
            <wp:simplePos x="0" y="0"/>
            <wp:positionH relativeFrom="column">
              <wp:posOffset>-103505</wp:posOffset>
            </wp:positionH>
            <wp:positionV relativeFrom="paragraph">
              <wp:posOffset>583565</wp:posOffset>
            </wp:positionV>
            <wp:extent cx="5499735" cy="1790700"/>
            <wp:effectExtent l="0" t="0" r="0" b="0"/>
            <wp:wrapTopAndBottom/>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C76726">
        <w:rPr>
          <w:rFonts w:ascii="仿宋_GB2312" w:eastAsia="仿宋_GB2312" w:hAnsi="仿宋_GB2312" w:cs="仿宋_GB2312" w:hint="eastAsia"/>
          <w:sz w:val="32"/>
          <w:szCs w:val="32"/>
        </w:rPr>
        <w:t>（图1：收、支决算总计变动情况图）（柱状图）</w:t>
      </w:r>
    </w:p>
    <w:p w:rsidR="00774B61" w:rsidRDefault="00774B61">
      <w:pPr>
        <w:spacing w:line="600" w:lineRule="exact"/>
        <w:ind w:firstLineChars="200" w:firstLine="640"/>
        <w:jc w:val="left"/>
        <w:rPr>
          <w:rFonts w:ascii="仿宋_GB2312" w:eastAsia="仿宋_GB2312"/>
          <w:sz w:val="32"/>
          <w:szCs w:val="32"/>
        </w:rPr>
      </w:pPr>
    </w:p>
    <w:p w:rsidR="00774B61" w:rsidRDefault="00C76726">
      <w:pPr>
        <w:pStyle w:val="aa"/>
        <w:numPr>
          <w:ilvl w:val="0"/>
          <w:numId w:val="2"/>
        </w:numPr>
        <w:spacing w:line="600" w:lineRule="exact"/>
        <w:ind w:firstLineChars="0"/>
        <w:outlineLvl w:val="1"/>
        <w:rPr>
          <w:rStyle w:val="22"/>
          <w:rFonts w:ascii="黑体" w:eastAsia="黑体" w:hAnsi="黑体"/>
          <w:b w:val="0"/>
        </w:rPr>
      </w:pPr>
      <w:bookmarkStart w:id="29" w:name="_Toc29188"/>
      <w:bookmarkStart w:id="30" w:name="_Toc15396604"/>
      <w:bookmarkStart w:id="31" w:name="_Toc15377206"/>
      <w:r>
        <w:rPr>
          <w:rFonts w:ascii="黑体" w:eastAsia="黑体" w:hAnsi="黑体" w:hint="eastAsia"/>
          <w:sz w:val="32"/>
          <w:szCs w:val="32"/>
        </w:rPr>
        <w:t>收</w:t>
      </w:r>
      <w:r>
        <w:rPr>
          <w:rStyle w:val="22"/>
          <w:rFonts w:ascii="黑体" w:eastAsia="黑体" w:hAnsi="黑体" w:hint="eastAsia"/>
          <w:b w:val="0"/>
        </w:rPr>
        <w:t>入决算情况说明</w:t>
      </w:r>
      <w:bookmarkEnd w:id="29"/>
      <w:bookmarkEnd w:id="30"/>
      <w:bookmarkEnd w:id="31"/>
    </w:p>
    <w:p w:rsidR="00774B61" w:rsidRPr="003F6E89" w:rsidRDefault="00C76726" w:rsidP="003F6E89">
      <w:pPr>
        <w:spacing w:line="600" w:lineRule="exact"/>
        <w:ind w:firstLineChars="200" w:firstLine="640"/>
        <w:outlineLvl w:val="1"/>
        <w:rPr>
          <w:rFonts w:ascii="仿宋_GB2312" w:eastAsia="仿宋_GB2312" w:hAnsi="仿宋_GB2312" w:cs="仿宋_GB2312"/>
          <w:sz w:val="32"/>
          <w:szCs w:val="32"/>
        </w:rPr>
      </w:pPr>
      <w:bookmarkStart w:id="32" w:name="_Toc14148"/>
      <w:r>
        <w:rPr>
          <w:rFonts w:ascii="仿宋_GB2312" w:eastAsia="仿宋_GB2312" w:hAnsi="仿宋_GB2312" w:cs="仿宋_GB2312" w:hint="eastAsia"/>
          <w:sz w:val="32"/>
          <w:szCs w:val="32"/>
        </w:rPr>
        <w:t>2023年度本年收入合计5781.14万元，其中：一般公共预算财政拨款收入4058.4万元，占70.2%；政府性基金预算财政拨款收入0万元，占0%；国有资本经营预算财政拨款收入0万元，占0%；上级补助收入0万元，占0%；事业收入0万元，占0%；经营收入1722.74万元，占29.79%；附属单位上缴收入0万元，占0%；其他收入0万元，占0%</w:t>
      </w:r>
      <w:bookmarkEnd w:id="32"/>
      <w:r>
        <w:rPr>
          <w:rFonts w:ascii="仿宋_GB2312" w:eastAsia="仿宋_GB2312" w:hAnsi="仿宋_GB2312" w:cs="仿宋_GB2312" w:hint="eastAsia"/>
          <w:sz w:val="32"/>
          <w:szCs w:val="32"/>
        </w:rPr>
        <w:t>。</w:t>
      </w:r>
    </w:p>
    <w:p w:rsidR="00774B61" w:rsidRDefault="00C76726">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（图2：收入决算结构图）（饼状图）</w:t>
      </w:r>
    </w:p>
    <w:p w:rsidR="00774B61" w:rsidRDefault="00C76726">
      <w:pPr>
        <w:spacing w:line="600" w:lineRule="exact"/>
        <w:ind w:firstLineChars="200" w:firstLine="643"/>
        <w:rPr>
          <w:rFonts w:ascii="仿宋_GB2312" w:eastAsia="仿宋_GB2312"/>
          <w:sz w:val="32"/>
          <w:szCs w:val="32"/>
        </w:rPr>
      </w:pPr>
      <w:r>
        <w:rPr>
          <w:rFonts w:ascii="仿宋" w:eastAsia="仿宋" w:hAnsi="仿宋"/>
          <w:b/>
          <w:noProof/>
          <w:color w:val="FF0000"/>
          <w:sz w:val="32"/>
          <w:szCs w:val="32"/>
        </w:rPr>
        <w:drawing>
          <wp:anchor distT="0" distB="0" distL="0" distR="0" simplePos="0" relativeHeight="251650560" behindDoc="0" locked="0" layoutInCell="1" allowOverlap="1" wp14:anchorId="38FFE3D4" wp14:editId="4BD4037F">
            <wp:simplePos x="0" y="0"/>
            <wp:positionH relativeFrom="column">
              <wp:posOffset>254000</wp:posOffset>
            </wp:positionH>
            <wp:positionV relativeFrom="paragraph">
              <wp:posOffset>247650</wp:posOffset>
            </wp:positionV>
            <wp:extent cx="4752975" cy="1863090"/>
            <wp:effectExtent l="0" t="0" r="0" b="0"/>
            <wp:wrapTopAndBottom/>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74B61" w:rsidRDefault="00C76726">
      <w:pPr>
        <w:pStyle w:val="aa"/>
        <w:numPr>
          <w:ilvl w:val="0"/>
          <w:numId w:val="2"/>
        </w:numPr>
        <w:spacing w:line="600" w:lineRule="exact"/>
        <w:ind w:firstLineChars="0"/>
        <w:outlineLvl w:val="1"/>
        <w:rPr>
          <w:rStyle w:val="22"/>
          <w:rFonts w:ascii="黑体" w:eastAsia="黑体" w:hAnsi="黑体"/>
          <w:b w:val="0"/>
        </w:rPr>
      </w:pPr>
      <w:bookmarkStart w:id="33" w:name="_Toc7676"/>
      <w:bookmarkStart w:id="34" w:name="_Toc15377207"/>
      <w:bookmarkStart w:id="35" w:name="_Toc15396605"/>
      <w:r>
        <w:rPr>
          <w:rFonts w:ascii="黑体" w:eastAsia="黑体" w:hAnsi="黑体" w:hint="eastAsia"/>
          <w:sz w:val="32"/>
          <w:szCs w:val="32"/>
        </w:rPr>
        <w:t>支</w:t>
      </w:r>
      <w:r>
        <w:rPr>
          <w:rStyle w:val="22"/>
          <w:rFonts w:ascii="黑体" w:eastAsia="黑体" w:hAnsi="黑体" w:hint="eastAsia"/>
          <w:b w:val="0"/>
        </w:rPr>
        <w:t>出决算情况说明</w:t>
      </w:r>
      <w:bookmarkEnd w:id="33"/>
      <w:bookmarkEnd w:id="34"/>
      <w:bookmarkEnd w:id="35"/>
    </w:p>
    <w:p w:rsidR="00774B61" w:rsidRDefault="00C76726">
      <w:pPr>
        <w:spacing w:line="600" w:lineRule="exact"/>
        <w:ind w:firstLineChars="200" w:firstLine="640"/>
        <w:outlineLvl w:val="1"/>
        <w:rPr>
          <w:rFonts w:ascii="仿宋_GB2312" w:eastAsia="仿宋_GB2312" w:hAnsi="仿宋_GB2312" w:cs="仿宋_GB2312"/>
          <w:sz w:val="32"/>
          <w:szCs w:val="32"/>
        </w:rPr>
      </w:pPr>
      <w:bookmarkStart w:id="36" w:name="_Toc15838"/>
      <w:r>
        <w:rPr>
          <w:rFonts w:ascii="仿宋_GB2312" w:eastAsia="仿宋_GB2312" w:hAnsi="仿宋_GB2312" w:cs="仿宋_GB2312" w:hint="eastAsia"/>
          <w:sz w:val="32"/>
          <w:szCs w:val="32"/>
        </w:rPr>
        <w:t>2023年度本年支出合计5128.41万元，其中：基本支出2504.91万元，占48.84%；项目支出1553.49万元，占30.29%；上缴上级支出0万元，占0%；经营支出1070.01万元，占20.86%；对附属单位补助支出0万元，占0%。</w:t>
      </w:r>
      <w:bookmarkEnd w:id="36"/>
    </w:p>
    <w:p w:rsidR="003F6E89" w:rsidRPr="00B93A57" w:rsidRDefault="003F6E89" w:rsidP="003F6E89">
      <w:pPr>
        <w:spacing w:line="326" w:lineRule="auto"/>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3F6E89" w:rsidRPr="003F6E89" w:rsidRDefault="003F6E89" w:rsidP="003F6E89">
      <w:pPr>
        <w:pStyle w:val="5"/>
      </w:pPr>
      <w:r>
        <w:rPr>
          <w:rFonts w:ascii="仿宋" w:eastAsia="仿宋" w:hAnsi="仿宋"/>
          <w:b w:val="0"/>
          <w:noProof/>
          <w:sz w:val="32"/>
          <w:szCs w:val="32"/>
        </w:rPr>
        <w:drawing>
          <wp:anchor distT="0" distB="0" distL="0" distR="0" simplePos="0" relativeHeight="251659776" behindDoc="0" locked="0" layoutInCell="1" allowOverlap="1" wp14:anchorId="11F15B92" wp14:editId="73529CEB">
            <wp:simplePos x="0" y="0"/>
            <wp:positionH relativeFrom="column">
              <wp:posOffset>0</wp:posOffset>
            </wp:positionH>
            <wp:positionV relativeFrom="paragraph">
              <wp:posOffset>589915</wp:posOffset>
            </wp:positionV>
            <wp:extent cx="4875530" cy="1940560"/>
            <wp:effectExtent l="0" t="0" r="0" b="0"/>
            <wp:wrapTopAndBottom/>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74B61" w:rsidRDefault="00774B61">
      <w:pPr>
        <w:spacing w:line="600" w:lineRule="exact"/>
        <w:ind w:firstLine="640"/>
        <w:rPr>
          <w:rFonts w:ascii="仿宋" w:eastAsia="仿宋" w:hAnsi="仿宋"/>
          <w:sz w:val="32"/>
          <w:szCs w:val="32"/>
          <w:shd w:val="pct10" w:color="auto" w:fill="FFFFFF"/>
        </w:rPr>
      </w:pPr>
    </w:p>
    <w:p w:rsidR="00774B61" w:rsidRDefault="00C76726">
      <w:pPr>
        <w:spacing w:line="600" w:lineRule="exact"/>
        <w:ind w:firstLineChars="200" w:firstLine="640"/>
        <w:outlineLvl w:val="1"/>
        <w:rPr>
          <w:rStyle w:val="22"/>
          <w:rFonts w:ascii="黑体" w:eastAsia="黑体" w:hAnsi="黑体"/>
          <w:b w:val="0"/>
        </w:rPr>
      </w:pPr>
      <w:bookmarkStart w:id="37" w:name="_Toc15396606"/>
      <w:bookmarkStart w:id="38" w:name="_Toc15377208"/>
      <w:bookmarkStart w:id="39" w:name="_Toc15304"/>
      <w:r>
        <w:rPr>
          <w:rFonts w:ascii="黑体" w:eastAsia="黑体" w:hAnsi="黑体" w:hint="eastAsia"/>
          <w:sz w:val="32"/>
          <w:szCs w:val="32"/>
        </w:rPr>
        <w:lastRenderedPageBreak/>
        <w:t>四、财</w:t>
      </w:r>
      <w:r>
        <w:rPr>
          <w:rStyle w:val="22"/>
          <w:rFonts w:ascii="黑体" w:eastAsia="黑体" w:hAnsi="黑体" w:hint="eastAsia"/>
          <w:b w:val="0"/>
        </w:rPr>
        <w:t>政拨款收入支出决算总体情况说明</w:t>
      </w:r>
      <w:bookmarkEnd w:id="37"/>
      <w:bookmarkEnd w:id="38"/>
      <w:bookmarkEnd w:id="39"/>
    </w:p>
    <w:p w:rsidR="00774B61" w:rsidRDefault="00C767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2023年度财政拨款收、支总计均为4058.4万元。与2022年度相比，财政拨款收、支总计各减少982.24万元，下降19%。主要变动原因是财政保障模式改变，经营收支增加，财政拨款收支减少。</w:t>
      </w:r>
    </w:p>
    <w:p w:rsidR="000D172B" w:rsidRPr="000D172B" w:rsidRDefault="000D172B" w:rsidP="000D172B">
      <w:pPr>
        <w:spacing w:line="326" w:lineRule="auto"/>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774B61" w:rsidRDefault="00C76726" w:rsidP="000D172B">
      <w:pPr>
        <w:spacing w:line="600" w:lineRule="exact"/>
        <w:rPr>
          <w:rFonts w:ascii="仿宋" w:eastAsia="仿宋" w:hAnsi="仿宋"/>
          <w:b/>
          <w:sz w:val="32"/>
          <w:szCs w:val="32"/>
        </w:rPr>
      </w:pPr>
      <w:r>
        <w:rPr>
          <w:rFonts w:ascii="仿宋" w:eastAsia="仿宋" w:hAnsi="仿宋"/>
          <w:noProof/>
          <w:color w:val="000000"/>
          <w:sz w:val="32"/>
          <w:szCs w:val="32"/>
        </w:rPr>
        <w:drawing>
          <wp:anchor distT="0" distB="0" distL="0" distR="0" simplePos="0" relativeHeight="251655680" behindDoc="0" locked="0" layoutInCell="1" allowOverlap="1" wp14:anchorId="6EE99256" wp14:editId="119FD2EC">
            <wp:simplePos x="0" y="0"/>
            <wp:positionH relativeFrom="column">
              <wp:posOffset>273050</wp:posOffset>
            </wp:positionH>
            <wp:positionV relativeFrom="paragraph">
              <wp:posOffset>245745</wp:posOffset>
            </wp:positionV>
            <wp:extent cx="5086350" cy="1877695"/>
            <wp:effectExtent l="0" t="0" r="0" b="0"/>
            <wp:wrapTopAndBottom/>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74B61" w:rsidRDefault="00C76726">
      <w:pPr>
        <w:spacing w:line="600" w:lineRule="exact"/>
        <w:ind w:firstLineChars="200" w:firstLine="640"/>
        <w:outlineLvl w:val="1"/>
        <w:rPr>
          <w:rStyle w:val="22"/>
          <w:rFonts w:ascii="黑体" w:eastAsia="黑体" w:hAnsi="黑体"/>
          <w:b w:val="0"/>
        </w:rPr>
      </w:pPr>
      <w:bookmarkStart w:id="40" w:name="_Toc15377209"/>
      <w:bookmarkStart w:id="41" w:name="_Toc15396607"/>
      <w:bookmarkStart w:id="42" w:name="_Toc23625"/>
      <w:r>
        <w:rPr>
          <w:rFonts w:ascii="黑体" w:eastAsia="黑体" w:hAnsi="黑体" w:hint="eastAsia"/>
          <w:sz w:val="32"/>
          <w:szCs w:val="32"/>
        </w:rPr>
        <w:t>五、</w:t>
      </w:r>
      <w:r>
        <w:rPr>
          <w:rFonts w:ascii="黑体" w:eastAsia="黑体" w:hAnsi="黑体" w:hint="eastAsia"/>
          <w:b/>
          <w:sz w:val="32"/>
          <w:szCs w:val="32"/>
        </w:rPr>
        <w:t>一</w:t>
      </w:r>
      <w:r>
        <w:rPr>
          <w:rStyle w:val="22"/>
          <w:rFonts w:ascii="黑体" w:eastAsia="黑体" w:hAnsi="黑体" w:hint="eastAsia"/>
          <w:b w:val="0"/>
        </w:rPr>
        <w:t>般公共预算财政拨款支出决算情况说明</w:t>
      </w:r>
      <w:bookmarkEnd w:id="40"/>
      <w:bookmarkEnd w:id="41"/>
      <w:bookmarkEnd w:id="42"/>
    </w:p>
    <w:p w:rsidR="00774B61" w:rsidRPr="00410C65" w:rsidRDefault="00C76726">
      <w:pPr>
        <w:spacing w:line="600" w:lineRule="exact"/>
        <w:ind w:firstLineChars="200" w:firstLine="640"/>
        <w:outlineLvl w:val="2"/>
        <w:rPr>
          <w:rFonts w:ascii="楷体" w:eastAsia="楷体" w:hAnsi="楷体"/>
          <w:sz w:val="32"/>
          <w:szCs w:val="32"/>
        </w:rPr>
      </w:pPr>
      <w:bookmarkStart w:id="43" w:name="_Toc15377210"/>
      <w:bookmarkStart w:id="44" w:name="_Toc21304"/>
      <w:r w:rsidRPr="00410C65">
        <w:rPr>
          <w:rFonts w:ascii="楷体" w:eastAsia="楷体" w:hAnsi="楷体" w:hint="eastAsia"/>
          <w:sz w:val="32"/>
          <w:szCs w:val="32"/>
        </w:rPr>
        <w:t>（一）一般公共预算财政拨款支出决算总体情况</w:t>
      </w:r>
      <w:bookmarkEnd w:id="43"/>
      <w:bookmarkEnd w:id="44"/>
    </w:p>
    <w:p w:rsidR="00774B61" w:rsidRDefault="00C76726">
      <w:pPr>
        <w:spacing w:line="600" w:lineRule="exact"/>
        <w:ind w:firstLine="640"/>
        <w:rPr>
          <w:rFonts w:ascii="仿宋" w:eastAsia="仿宋" w:hAnsi="仿宋"/>
          <w:sz w:val="32"/>
          <w:szCs w:val="32"/>
        </w:rPr>
      </w:pPr>
      <w:r>
        <w:rPr>
          <w:rFonts w:ascii="仿宋_GB2312" w:eastAsia="仿宋_GB2312" w:hAnsi="仿宋_GB2312" w:cs="仿宋_GB2312" w:hint="eastAsia"/>
          <w:sz w:val="32"/>
          <w:szCs w:val="32"/>
        </w:rPr>
        <w:t>2023年度一般公共预算财政拨款支出4058.4万元，占本年支出合计的79.13%。与2022年度相比，一般公共预算财政拨款支出减少982.24万元，下降19%。主要变动原因是财政保障模式改变，经营收支增加，财政拨款收支减少。</w:t>
      </w:r>
    </w:p>
    <w:p w:rsidR="001F5C20" w:rsidRPr="001F5C20" w:rsidRDefault="001F5C20" w:rsidP="0062179F">
      <w:pPr>
        <w:spacing w:line="326" w:lineRule="auto"/>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1F5C20" w:rsidRPr="001F5C20" w:rsidRDefault="001F5C20" w:rsidP="001F5C20">
      <w:pPr>
        <w:spacing w:line="600" w:lineRule="exact"/>
        <w:ind w:firstLineChars="200" w:firstLine="640"/>
        <w:rPr>
          <w:rFonts w:ascii="仿宋" w:eastAsia="仿宋" w:hAnsi="仿宋"/>
          <w:sz w:val="32"/>
          <w:szCs w:val="32"/>
        </w:rPr>
      </w:pPr>
      <w:r>
        <w:rPr>
          <w:rFonts w:ascii="仿宋" w:eastAsia="仿宋" w:hAnsi="仿宋"/>
          <w:noProof/>
          <w:sz w:val="32"/>
          <w:szCs w:val="32"/>
        </w:rPr>
        <w:lastRenderedPageBreak/>
        <w:drawing>
          <wp:anchor distT="0" distB="0" distL="0" distR="0" simplePos="0" relativeHeight="251663872" behindDoc="0" locked="0" layoutInCell="1" allowOverlap="1" wp14:anchorId="57D57B6D" wp14:editId="33ECF19F">
            <wp:simplePos x="0" y="0"/>
            <wp:positionH relativeFrom="column">
              <wp:posOffset>0</wp:posOffset>
            </wp:positionH>
            <wp:positionV relativeFrom="paragraph">
              <wp:posOffset>408940</wp:posOffset>
            </wp:positionV>
            <wp:extent cx="4429760" cy="1682115"/>
            <wp:effectExtent l="0" t="0" r="0" b="0"/>
            <wp:wrapTopAndBottom/>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45" w:name="_Toc12171"/>
      <w:bookmarkStart w:id="46" w:name="_Toc15377211"/>
    </w:p>
    <w:p w:rsidR="00774B61" w:rsidRPr="00410C65" w:rsidRDefault="00C76726" w:rsidP="00410C65">
      <w:pPr>
        <w:spacing w:line="600" w:lineRule="exact"/>
        <w:ind w:firstLineChars="200" w:firstLine="640"/>
        <w:outlineLvl w:val="2"/>
        <w:rPr>
          <w:rFonts w:ascii="楷体" w:eastAsia="楷体" w:hAnsi="楷体"/>
          <w:sz w:val="32"/>
          <w:szCs w:val="32"/>
        </w:rPr>
      </w:pPr>
      <w:r w:rsidRPr="00410C65">
        <w:rPr>
          <w:rFonts w:ascii="楷体" w:eastAsia="楷体" w:hAnsi="楷体" w:hint="eastAsia"/>
          <w:sz w:val="32"/>
          <w:szCs w:val="32"/>
        </w:rPr>
        <w:t>（二）一般公共预算财政拨款支出决算结构情况</w:t>
      </w:r>
      <w:bookmarkEnd w:id="45"/>
      <w:bookmarkEnd w:id="46"/>
    </w:p>
    <w:p w:rsidR="00774B61" w:rsidRDefault="00C767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一般公共预算财政拨款支出4058.4万元，主要用于以下方面:一般公共服务支出3014.58万元，占74%；科学技术支出249.78万元，占6%；社会保障和就业支出483.95万元，占12%；卫生健康支出135.28万元，占3%；住房保障支出172.69万元，占4%；农林水支出2.12万元，占1%。</w:t>
      </w:r>
    </w:p>
    <w:p w:rsidR="00774B61" w:rsidRDefault="00774B61">
      <w:pPr>
        <w:spacing w:line="600" w:lineRule="exact"/>
        <w:ind w:firstLine="640"/>
        <w:rPr>
          <w:rFonts w:ascii="仿宋" w:eastAsia="仿宋" w:hAnsi="仿宋"/>
          <w:sz w:val="32"/>
          <w:szCs w:val="32"/>
        </w:rPr>
      </w:pPr>
    </w:p>
    <w:p w:rsidR="00774B61" w:rsidRDefault="00C76726">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774B61" w:rsidRDefault="00C76726">
      <w:pPr>
        <w:spacing w:line="600" w:lineRule="exact"/>
        <w:ind w:firstLineChars="200" w:firstLine="643"/>
        <w:rPr>
          <w:rFonts w:ascii="仿宋" w:eastAsia="仿宋" w:hAnsi="仿宋"/>
          <w:sz w:val="32"/>
          <w:szCs w:val="32"/>
        </w:rPr>
      </w:pPr>
      <w:r>
        <w:rPr>
          <w:rFonts w:ascii="仿宋" w:eastAsia="仿宋" w:hAnsi="仿宋"/>
          <w:b/>
          <w:noProof/>
          <w:sz w:val="32"/>
          <w:szCs w:val="32"/>
        </w:rPr>
        <w:drawing>
          <wp:anchor distT="0" distB="0" distL="0" distR="0" simplePos="0" relativeHeight="251656704" behindDoc="0" locked="0" layoutInCell="1" allowOverlap="1" wp14:anchorId="32E05F7D" wp14:editId="64BC15ED">
            <wp:simplePos x="0" y="0"/>
            <wp:positionH relativeFrom="column">
              <wp:posOffset>247650</wp:posOffset>
            </wp:positionH>
            <wp:positionV relativeFrom="paragraph">
              <wp:posOffset>342900</wp:posOffset>
            </wp:positionV>
            <wp:extent cx="4875530" cy="1940560"/>
            <wp:effectExtent l="0" t="0" r="0" b="0"/>
            <wp:wrapTopAndBottom/>
            <wp:docPr id="7"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74B61" w:rsidRPr="00410C65" w:rsidRDefault="00C76726">
      <w:pPr>
        <w:spacing w:line="600" w:lineRule="exact"/>
        <w:ind w:firstLineChars="200" w:firstLine="643"/>
        <w:outlineLvl w:val="2"/>
        <w:rPr>
          <w:rFonts w:ascii="楷体" w:eastAsia="楷体" w:hAnsi="楷体"/>
          <w:sz w:val="32"/>
          <w:szCs w:val="32"/>
        </w:rPr>
      </w:pPr>
      <w:bookmarkStart w:id="47" w:name="_Toc14304"/>
      <w:bookmarkStart w:id="48" w:name="_Toc15377212"/>
      <w:r>
        <w:rPr>
          <w:rFonts w:ascii="仿宋" w:eastAsia="仿宋" w:hAnsi="仿宋" w:hint="eastAsia"/>
          <w:b/>
          <w:sz w:val="32"/>
          <w:szCs w:val="32"/>
        </w:rPr>
        <w:lastRenderedPageBreak/>
        <w:t>（</w:t>
      </w:r>
      <w:r w:rsidRPr="00410C65">
        <w:rPr>
          <w:rFonts w:ascii="楷体" w:eastAsia="楷体" w:hAnsi="楷体" w:hint="eastAsia"/>
          <w:sz w:val="32"/>
          <w:szCs w:val="32"/>
        </w:rPr>
        <w:t>三）一般公共预算财政拨款支出决算具体情况</w:t>
      </w:r>
      <w:bookmarkEnd w:id="47"/>
      <w:bookmarkEnd w:id="48"/>
    </w:p>
    <w:p w:rsidR="00774B61" w:rsidRDefault="00C76726">
      <w:pPr>
        <w:spacing w:line="600" w:lineRule="exact"/>
        <w:ind w:firstLineChars="200" w:firstLine="640"/>
        <w:outlineLvl w:val="1"/>
        <w:rPr>
          <w:rFonts w:ascii="仿宋_GB2312" w:eastAsia="仿宋_GB2312" w:hAnsi="仿宋_GB2312" w:cs="仿宋_GB2312"/>
          <w:bCs/>
          <w:sz w:val="32"/>
          <w:szCs w:val="32"/>
        </w:rPr>
      </w:pPr>
      <w:bookmarkStart w:id="49" w:name="_Toc15377444"/>
      <w:bookmarkStart w:id="50" w:name="_Toc15377213"/>
      <w:bookmarkStart w:id="51" w:name="_Toc15378460"/>
      <w:bookmarkStart w:id="52" w:name="_Toc25828"/>
      <w:r>
        <w:rPr>
          <w:rFonts w:ascii="仿宋_GB2312" w:eastAsia="仿宋_GB2312" w:hAnsi="仿宋_GB2312" w:cs="仿宋_GB2312" w:hint="eastAsia"/>
          <w:bCs/>
          <w:sz w:val="32"/>
          <w:szCs w:val="32"/>
        </w:rPr>
        <w:t>2023年度一般公共预算支出决算数为4058.40，</w:t>
      </w:r>
      <w:r>
        <w:rPr>
          <w:rStyle w:val="a8"/>
          <w:rFonts w:ascii="仿宋_GB2312" w:eastAsia="仿宋_GB2312" w:hAnsi="仿宋_GB2312" w:cs="仿宋_GB2312" w:hint="eastAsia"/>
          <w:b w:val="0"/>
          <w:bCs/>
          <w:sz w:val="32"/>
          <w:szCs w:val="32"/>
        </w:rPr>
        <w:t>完成预算100%。其中：</w:t>
      </w:r>
      <w:bookmarkEnd w:id="49"/>
      <w:bookmarkEnd w:id="50"/>
      <w:bookmarkEnd w:id="51"/>
      <w:bookmarkEnd w:id="52"/>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1.一般公共服务支出（类）市场监督管理事务（款）  食品安全监管（项）:支出决算为232.21万元，完成预算100%。</w:t>
      </w:r>
    </w:p>
    <w:p w:rsidR="00774B61" w:rsidRDefault="00C76726">
      <w:pPr>
        <w:spacing w:line="326" w:lineRule="auto"/>
        <w:ind w:firstLineChars="196" w:firstLine="627"/>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2.一般公共服务支出（类）市场监督管理事务（款）事业运行（项）:支出决算为1734.29万元，完成预算100%。</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3.一般公共服务支出（类）市场监督管理事务（款）其他市场监督管理事务（项）:支出决算为1048.08万元，完成预算100%。</w:t>
      </w:r>
    </w:p>
    <w:p w:rsidR="00774B61" w:rsidRDefault="00C76726">
      <w:pPr>
        <w:spacing w:line="326" w:lineRule="auto"/>
        <w:ind w:firstLineChars="200" w:firstLine="640"/>
        <w:jc w:val="left"/>
        <w:rPr>
          <w:rFonts w:ascii="仿宋_GB2312" w:eastAsia="仿宋_GB2312" w:hAnsi="仿宋_GB2312" w:cs="仿宋_GB2312"/>
          <w:bCs/>
          <w:sz w:val="32"/>
          <w:szCs w:val="32"/>
        </w:rPr>
      </w:pPr>
      <w:r>
        <w:rPr>
          <w:rStyle w:val="a8"/>
          <w:rFonts w:ascii="仿宋_GB2312" w:eastAsia="仿宋_GB2312" w:hAnsi="仿宋_GB2312" w:cs="仿宋_GB2312" w:hint="eastAsia"/>
          <w:b w:val="0"/>
          <w:bCs/>
          <w:color w:val="000000"/>
          <w:sz w:val="32"/>
          <w:szCs w:val="32"/>
        </w:rPr>
        <w:t>4.科学技术支出（类）技术研究与开发（款）其他技术研究与开发（项）：支出决算为249.78万元，完成预算100%。</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5.社会保障和就业支出（类）人力资源和社会保障管理事务（款）其他人力资源和社会保障和管理事务支出（项）:支出决算为21.30万元，完成预算100%。</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6.社会保障和就业支出（类）行政事业单位养老支出（款）事业单位离退休（项）:支出决算为156.40万元，完成预算100%。</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7.社会保障和就业支出（类）行政事业单位养老支出（款）机关事业单位基本养老保险缴费支出（项）:支出决算为273.56万元，完成预算100%。</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8.社会保障和就业支出（类）行政事业单位养老支出（款）</w:t>
      </w:r>
      <w:r>
        <w:rPr>
          <w:rStyle w:val="a8"/>
          <w:rFonts w:ascii="仿宋_GB2312" w:eastAsia="仿宋_GB2312" w:hAnsi="仿宋_GB2312" w:cs="仿宋_GB2312" w:hint="eastAsia"/>
          <w:b w:val="0"/>
          <w:bCs/>
          <w:color w:val="000000"/>
          <w:sz w:val="32"/>
          <w:szCs w:val="32"/>
        </w:rPr>
        <w:lastRenderedPageBreak/>
        <w:t xml:space="preserve">机关事业单位职业年金缴费支出（项）:支出决算为11.57万元，完成预算100%。 </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9.社会保障和就业支出（类）抚恤（款）死亡抚恤（项）:支出决算为21.13万元，完成预算100%。</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10.卫生健康支出（类）行政事业单位医疗（款）事业单位医疗（项）:支出决算为110.81万元，完成预算100%。</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11.卫生健康支出（类）行政事业单位医疗（款）公务员医疗补助（项）:支出决算为9.76万元，完成预算100%。</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12.卫生健康支出（类）行政事业单位医疗（款）其他行政事业单位医疗支出（项）:支出决算为14.70万元，完成预算100%。</w:t>
      </w:r>
    </w:p>
    <w:p w:rsidR="00774B61" w:rsidRDefault="00C76726">
      <w:pPr>
        <w:spacing w:line="326" w:lineRule="auto"/>
        <w:ind w:firstLineChars="200" w:firstLine="640"/>
        <w:jc w:val="left"/>
        <w:rPr>
          <w:rStyle w:val="a8"/>
          <w:rFonts w:ascii="仿宋_GB2312" w:eastAsia="仿宋_GB2312" w:hAnsi="仿宋_GB2312" w:cs="仿宋_GB2312"/>
          <w:b w:val="0"/>
          <w:bCs/>
          <w:color w:val="000000"/>
          <w:sz w:val="32"/>
          <w:szCs w:val="32"/>
        </w:rPr>
      </w:pPr>
      <w:r>
        <w:rPr>
          <w:rFonts w:ascii="仿宋_GB2312" w:eastAsia="仿宋_GB2312" w:hAnsi="仿宋_GB2312" w:cs="仿宋_GB2312" w:hint="eastAsia"/>
          <w:bCs/>
          <w:color w:val="000000"/>
          <w:sz w:val="32"/>
          <w:szCs w:val="32"/>
        </w:rPr>
        <w:t>13.住房保障</w:t>
      </w:r>
      <w:r>
        <w:rPr>
          <w:rStyle w:val="a8"/>
          <w:rFonts w:ascii="仿宋_GB2312" w:eastAsia="仿宋_GB2312" w:hAnsi="仿宋_GB2312" w:cs="仿宋_GB2312" w:hint="eastAsia"/>
          <w:b w:val="0"/>
          <w:bCs/>
          <w:color w:val="000000"/>
          <w:sz w:val="32"/>
          <w:szCs w:val="32"/>
        </w:rPr>
        <w:t>（类）住房改革支出（款）住房公积金（项）:支出决算为172.69，完成预算100%。</w:t>
      </w:r>
    </w:p>
    <w:p w:rsidR="00774B61" w:rsidRDefault="00C76726">
      <w:pPr>
        <w:spacing w:line="326" w:lineRule="auto"/>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color w:val="000000"/>
          <w:sz w:val="32"/>
          <w:szCs w:val="32"/>
        </w:rPr>
        <w:t>14.农林水支出</w:t>
      </w:r>
      <w:r>
        <w:rPr>
          <w:rStyle w:val="a8"/>
          <w:rFonts w:ascii="仿宋_GB2312" w:eastAsia="仿宋_GB2312" w:hAnsi="仿宋_GB2312" w:cs="仿宋_GB2312" w:hint="eastAsia"/>
          <w:b w:val="0"/>
          <w:bCs/>
          <w:color w:val="000000"/>
          <w:sz w:val="32"/>
          <w:szCs w:val="32"/>
        </w:rPr>
        <w:t>（类）农业农村（款） 其他农业农村支出（项）:支出决算为2.12万元，完成预算100%。</w:t>
      </w:r>
    </w:p>
    <w:p w:rsidR="00774B61" w:rsidRDefault="00C76726">
      <w:pPr>
        <w:tabs>
          <w:tab w:val="right" w:pos="8306"/>
        </w:tabs>
        <w:spacing w:line="600" w:lineRule="exact"/>
        <w:ind w:firstLine="640"/>
        <w:outlineLvl w:val="1"/>
        <w:rPr>
          <w:rStyle w:val="22"/>
        </w:rPr>
      </w:pPr>
      <w:bookmarkStart w:id="53" w:name="_Toc15377214"/>
      <w:bookmarkStart w:id="54" w:name="_Toc15396608"/>
      <w:bookmarkStart w:id="55" w:name="_Toc29180"/>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2"/>
          <w:rFonts w:ascii="黑体" w:eastAsia="黑体" w:hAnsi="黑体" w:hint="eastAsia"/>
          <w:b w:val="0"/>
        </w:rPr>
        <w:t>般公共预算财政拨款基本支出决算情况说明</w:t>
      </w:r>
      <w:bookmarkEnd w:id="53"/>
      <w:bookmarkEnd w:id="54"/>
      <w:bookmarkEnd w:id="55"/>
      <w:r>
        <w:rPr>
          <w:rStyle w:val="22"/>
          <w:rFonts w:ascii="黑体" w:eastAsia="黑体" w:hAnsi="黑体"/>
          <w:b w:val="0"/>
        </w:rPr>
        <w:tab/>
      </w:r>
    </w:p>
    <w:p w:rsidR="00774B61" w:rsidRDefault="00C7672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2023年度一般公共预算财政拨款基本支出2504.91万元，其中：</w:t>
      </w:r>
    </w:p>
    <w:p w:rsidR="00774B61" w:rsidRDefault="00C7672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人员经费2371.83万元，主要包括：基本工资、津贴补贴、绩效工资、机关事业单位基本养老保险缴费、职业年金缴费、其他社会保障缴费、其他工资福利支出、退休费、抚恤金、生活补</w:t>
      </w:r>
      <w:r>
        <w:rPr>
          <w:rFonts w:ascii="仿宋_GB2312" w:eastAsia="仿宋_GB2312" w:hAnsi="仿宋_GB2312" w:cs="仿宋_GB2312" w:hint="eastAsia"/>
          <w:sz w:val="32"/>
          <w:szCs w:val="32"/>
        </w:rPr>
        <w:lastRenderedPageBreak/>
        <w:t>助、医疗费补助、住房公积金等。</w:t>
      </w:r>
    </w:p>
    <w:p w:rsidR="00774B61" w:rsidRDefault="00C7672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133.08万元，主要包括：办公费、印刷费、水费、电费、邮电费、物业管理费、差旅费、维修（护）费、会议费、培训费、公务接待费、劳务费、委托业务费、工会经费、福利费、公务用车运行维护费、其他商品和服务支出等。</w:t>
      </w:r>
    </w:p>
    <w:p w:rsidR="00774B61" w:rsidRDefault="00C76726">
      <w:pPr>
        <w:spacing w:line="600" w:lineRule="exact"/>
        <w:ind w:firstLine="640"/>
        <w:outlineLvl w:val="1"/>
        <w:rPr>
          <w:rStyle w:val="22"/>
          <w:rFonts w:ascii="黑体" w:eastAsia="黑体" w:hAnsi="黑体"/>
          <w:b w:val="0"/>
        </w:rPr>
      </w:pPr>
      <w:bookmarkStart w:id="56" w:name="_Toc15377215"/>
      <w:bookmarkStart w:id="57" w:name="_Toc15396609"/>
      <w:bookmarkStart w:id="58" w:name="_Toc7094"/>
      <w:r>
        <w:rPr>
          <w:rFonts w:ascii="黑体" w:eastAsia="黑体" w:hint="eastAsia"/>
          <w:sz w:val="32"/>
          <w:szCs w:val="32"/>
        </w:rPr>
        <w:t>七、</w:t>
      </w:r>
      <w:r>
        <w:rPr>
          <w:rStyle w:val="22"/>
          <w:rFonts w:ascii="黑体" w:eastAsia="黑体" w:hAnsi="黑体" w:hint="eastAsia"/>
          <w:b w:val="0"/>
        </w:rPr>
        <w:t>财政拨款</w:t>
      </w:r>
      <w:r>
        <w:rPr>
          <w:rStyle w:val="22"/>
          <w:rFonts w:ascii="黑体" w:eastAsia="黑体" w:hAnsi="黑体" w:hint="eastAsia"/>
        </w:rPr>
        <w:t>“</w:t>
      </w:r>
      <w:r>
        <w:rPr>
          <w:rStyle w:val="22"/>
          <w:rFonts w:ascii="黑体" w:eastAsia="黑体" w:hAnsi="黑体" w:hint="eastAsia"/>
          <w:b w:val="0"/>
        </w:rPr>
        <w:t>三公”经费支出决算情况说明</w:t>
      </w:r>
      <w:bookmarkEnd w:id="56"/>
      <w:bookmarkEnd w:id="57"/>
      <w:bookmarkEnd w:id="58"/>
    </w:p>
    <w:p w:rsidR="00774B61" w:rsidRPr="00410C65" w:rsidRDefault="00C76726">
      <w:pPr>
        <w:spacing w:line="600" w:lineRule="exact"/>
        <w:ind w:firstLine="640"/>
        <w:outlineLvl w:val="2"/>
        <w:rPr>
          <w:rFonts w:ascii="楷体" w:eastAsia="楷体" w:hAnsi="楷体"/>
          <w:sz w:val="32"/>
          <w:szCs w:val="32"/>
        </w:rPr>
      </w:pPr>
      <w:bookmarkStart w:id="59" w:name="_Toc15377216"/>
      <w:bookmarkStart w:id="60" w:name="_Toc17202"/>
      <w:r w:rsidRPr="00410C65">
        <w:rPr>
          <w:rFonts w:ascii="楷体" w:eastAsia="楷体" w:hAnsi="楷体" w:hint="eastAsia"/>
          <w:sz w:val="32"/>
          <w:szCs w:val="32"/>
        </w:rPr>
        <w:t>（一）“三公”经费财政拨款支出决算总体情况说明</w:t>
      </w:r>
      <w:bookmarkEnd w:id="59"/>
      <w:bookmarkEnd w:id="60"/>
    </w:p>
    <w:p w:rsidR="00774B61" w:rsidRDefault="00C767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2023年度“三公”经费财政拨款支出决算为21.39万元，完成预算100%，较上年度减少9.87万元，下降30%。决算数小于预算数的主要原因是按财政要求压缩“三公”经费支出。</w:t>
      </w:r>
    </w:p>
    <w:p w:rsidR="00774B61" w:rsidRPr="00410C65" w:rsidRDefault="00C76726">
      <w:pPr>
        <w:spacing w:line="600" w:lineRule="exact"/>
        <w:ind w:firstLine="640"/>
        <w:outlineLvl w:val="2"/>
        <w:rPr>
          <w:rFonts w:ascii="楷体" w:eastAsia="楷体" w:hAnsi="楷体"/>
          <w:sz w:val="32"/>
          <w:szCs w:val="32"/>
        </w:rPr>
      </w:pPr>
      <w:bookmarkStart w:id="61" w:name="_Toc15377217"/>
      <w:bookmarkStart w:id="62" w:name="_Toc22449"/>
      <w:r w:rsidRPr="00410C65">
        <w:rPr>
          <w:rFonts w:ascii="楷体" w:eastAsia="楷体" w:hAnsi="楷体" w:hint="eastAsia"/>
          <w:sz w:val="32"/>
          <w:szCs w:val="32"/>
        </w:rPr>
        <w:t>（二）“三公”经费财政拨款支出决算具体情况说明</w:t>
      </w:r>
      <w:bookmarkEnd w:id="61"/>
      <w:bookmarkEnd w:id="62"/>
    </w:p>
    <w:p w:rsidR="00774B61" w:rsidRDefault="00C767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2023年度“三公”经费财政拨款支出决算中，因公出国（境）费支出决算0万元，占0%；公务用车购置及运行维护费支出决算20.68万元，占96.69%；公务接待费支出决算0.71万元，占3.3%。具体情况如下：</w:t>
      </w:r>
    </w:p>
    <w:p w:rsidR="000D630B" w:rsidRPr="000D630B" w:rsidRDefault="00C76726" w:rsidP="000D630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（图7：“三公”经费财政拨款支出结构）（饼状图）</w:t>
      </w:r>
      <w:r w:rsidR="000D630B">
        <w:rPr>
          <w:rFonts w:ascii="仿宋" w:eastAsia="仿宋" w:hAnsi="仿宋"/>
          <w:noProof/>
          <w:color w:val="000000"/>
          <w:sz w:val="32"/>
          <w:szCs w:val="32"/>
        </w:rPr>
        <w:drawing>
          <wp:anchor distT="0" distB="0" distL="114300" distR="114300" simplePos="0" relativeHeight="251664896" behindDoc="0" locked="0" layoutInCell="1" allowOverlap="1" wp14:anchorId="5D89FC79" wp14:editId="11A7A206">
            <wp:simplePos x="0" y="0"/>
            <wp:positionH relativeFrom="column">
              <wp:posOffset>0</wp:posOffset>
            </wp:positionH>
            <wp:positionV relativeFrom="paragraph">
              <wp:posOffset>589915</wp:posOffset>
            </wp:positionV>
            <wp:extent cx="4105275" cy="1520825"/>
            <wp:effectExtent l="0" t="0" r="0" b="0"/>
            <wp:wrapSquare wrapText="right"/>
            <wp:docPr id="8"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0D630B" w:rsidRDefault="000D630B" w:rsidP="000D630B"/>
    <w:p w:rsidR="000D630B" w:rsidRDefault="000D630B" w:rsidP="000D630B">
      <w:pPr>
        <w:pStyle w:val="5"/>
      </w:pPr>
    </w:p>
    <w:p w:rsidR="000D630B" w:rsidRPr="000D630B" w:rsidRDefault="000D630B" w:rsidP="000D630B"/>
    <w:p w:rsidR="000D630B" w:rsidRPr="000D630B" w:rsidRDefault="000D630B" w:rsidP="000D630B">
      <w:pPr>
        <w:tabs>
          <w:tab w:val="left" w:pos="312"/>
        </w:tabs>
        <w:spacing w:line="600" w:lineRule="exact"/>
        <w:ind w:left="640"/>
        <w:rPr>
          <w:rFonts w:ascii="仿宋_GB2312" w:eastAsia="仿宋_GB2312" w:hAnsi="仿宋_GB2312" w:cs="仿宋_GB2312"/>
          <w:sz w:val="32"/>
          <w:szCs w:val="32"/>
        </w:rPr>
      </w:pPr>
      <w:bookmarkStart w:id="63" w:name="_Toc15396610"/>
      <w:bookmarkStart w:id="64" w:name="_Toc15377218"/>
    </w:p>
    <w:p w:rsidR="000D630B" w:rsidRDefault="000D630B" w:rsidP="000D630B">
      <w:pPr>
        <w:tabs>
          <w:tab w:val="left" w:pos="312"/>
        </w:tabs>
        <w:spacing w:line="600" w:lineRule="exact"/>
        <w:ind w:left="640"/>
        <w:rPr>
          <w:rFonts w:ascii="仿宋_GB2312" w:eastAsia="仿宋_GB2312" w:hAnsi="仿宋_GB2312" w:cs="仿宋_GB2312"/>
          <w:sz w:val="32"/>
          <w:szCs w:val="32"/>
        </w:rPr>
      </w:pPr>
    </w:p>
    <w:p w:rsidR="00774B61" w:rsidRDefault="00030123" w:rsidP="00030123">
      <w:pPr>
        <w:tabs>
          <w:tab w:val="left" w:pos="312"/>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sidR="00C76726">
        <w:rPr>
          <w:rFonts w:ascii="仿宋_GB2312" w:eastAsia="仿宋_GB2312" w:hAnsi="仿宋_GB2312" w:cs="仿宋_GB2312" w:hint="eastAsia"/>
          <w:sz w:val="32"/>
          <w:szCs w:val="32"/>
        </w:rPr>
        <w:t>因公出国（境）经费支出0万元，</w:t>
      </w:r>
      <w:r w:rsidR="00C76726">
        <w:rPr>
          <w:rStyle w:val="a8"/>
          <w:rFonts w:ascii="仿宋_GB2312" w:eastAsia="仿宋_GB2312" w:hAnsi="仿宋_GB2312" w:cs="仿宋_GB2312" w:hint="eastAsia"/>
          <w:b w:val="0"/>
          <w:sz w:val="32"/>
          <w:szCs w:val="32"/>
        </w:rPr>
        <w:t>完成预算0%。</w:t>
      </w:r>
      <w:r w:rsidR="00C76726">
        <w:rPr>
          <w:rFonts w:ascii="仿宋_GB2312" w:eastAsia="仿宋_GB2312" w:hAnsi="仿宋_GB2312" w:cs="仿宋_GB2312" w:hint="eastAsia"/>
          <w:sz w:val="32"/>
          <w:szCs w:val="32"/>
        </w:rPr>
        <w:t>全年安排因公出国（境）团组0次，出国（境）0人。</w:t>
      </w:r>
      <w:r>
        <w:rPr>
          <w:rFonts w:ascii="仿宋_GB2312" w:eastAsia="仿宋_GB2312" w:hAnsi="仿宋_GB2312" w:cs="仿宋_GB2312" w:hint="eastAsia"/>
          <w:sz w:val="32"/>
          <w:szCs w:val="32"/>
        </w:rPr>
        <w:t>因公出国（境）</w:t>
      </w:r>
      <w:r>
        <w:rPr>
          <w:rFonts w:ascii="仿宋_GB2312" w:eastAsia="仿宋_GB2312" w:hint="eastAsia"/>
          <w:sz w:val="32"/>
          <w:szCs w:val="32"/>
        </w:rPr>
        <w:t>支出决算与2022年度持平</w:t>
      </w:r>
      <w:r>
        <w:rPr>
          <w:rFonts w:ascii="仿宋_GB2312" w:eastAsia="仿宋_GB2312"/>
          <w:sz w:val="32"/>
          <w:szCs w:val="32"/>
        </w:rPr>
        <w:t>。</w:t>
      </w:r>
    </w:p>
    <w:p w:rsidR="00774B61" w:rsidRDefault="0003012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C76726">
        <w:rPr>
          <w:rFonts w:ascii="仿宋_GB2312" w:eastAsia="仿宋_GB2312" w:hAnsi="仿宋_GB2312" w:cs="仿宋_GB2312" w:hint="eastAsia"/>
          <w:sz w:val="32"/>
          <w:szCs w:val="32"/>
        </w:rPr>
        <w:t>公务用车购置及运行维护费支出20.68万元,</w:t>
      </w:r>
      <w:r w:rsidR="00C76726">
        <w:rPr>
          <w:rStyle w:val="a8"/>
          <w:rFonts w:ascii="仿宋_GB2312" w:eastAsia="仿宋_GB2312" w:hAnsi="仿宋_GB2312" w:cs="仿宋_GB2312" w:hint="eastAsia"/>
          <w:b w:val="0"/>
          <w:sz w:val="32"/>
          <w:szCs w:val="32"/>
        </w:rPr>
        <w:t>完成预算100%。</w:t>
      </w:r>
      <w:r w:rsidR="00C76726">
        <w:rPr>
          <w:rFonts w:ascii="仿宋_GB2312" w:eastAsia="仿宋_GB2312" w:hAnsi="仿宋_GB2312" w:cs="仿宋_GB2312" w:hint="eastAsia"/>
          <w:sz w:val="32"/>
          <w:szCs w:val="32"/>
        </w:rPr>
        <w:t>公务用车购置及运行维护费支出决算比2022年度减少9.87万元，下降30%。主要原因是按财政要求压缩“三公”经费支出。</w:t>
      </w:r>
    </w:p>
    <w:p w:rsidR="00774B61" w:rsidRPr="00030123" w:rsidRDefault="00C76726" w:rsidP="0003012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其中：公务用车购置支出0万元。公务用车运行维护费支出20.68万元。主要用于</w:t>
      </w:r>
      <w:r>
        <w:rPr>
          <w:rFonts w:ascii="仿宋_GB2312" w:eastAsia="仿宋_GB2312" w:hAnsi="仿宋_GB2312" w:cs="仿宋_GB2312" w:hint="eastAsia"/>
          <w:color w:val="000000"/>
          <w:kern w:val="0"/>
          <w:sz w:val="32"/>
          <w:szCs w:val="32"/>
        </w:rPr>
        <w:t>钒钛制品、工业产（商）品等质量安全监督检验；特种设备安全检验检测；全市药品、医疗器械、药品包装材料、消费环节食品、保健食品、化妆品等相关的检验检测工作；社会公用计量标准进行量值传递，开展能效测试，执行强制和法律规定的其他检定测试任务</w:t>
      </w:r>
      <w:r>
        <w:rPr>
          <w:rFonts w:ascii="仿宋_GB2312" w:eastAsia="仿宋_GB2312" w:hAnsi="仿宋_GB2312" w:cs="仿宋_GB2312" w:hint="eastAsia"/>
          <w:color w:val="000000"/>
          <w:sz w:val="32"/>
          <w:szCs w:val="32"/>
        </w:rPr>
        <w:t>等所需的公务用车燃料费、维修费、过路过桥费、保险费等支出。</w:t>
      </w:r>
    </w:p>
    <w:p w:rsidR="00774B61" w:rsidRDefault="00C76726" w:rsidP="004D4D8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3.公务接待费支出0.71万元，</w:t>
      </w:r>
      <w:r>
        <w:rPr>
          <w:rStyle w:val="a8"/>
          <w:rFonts w:ascii="仿宋_GB2312" w:eastAsia="仿宋_GB2312" w:hAnsi="仿宋_GB2312" w:cs="仿宋_GB2312" w:hint="eastAsia"/>
          <w:b w:val="0"/>
          <w:sz w:val="32"/>
          <w:szCs w:val="32"/>
        </w:rPr>
        <w:t>完成预算100%。</w:t>
      </w:r>
      <w:r>
        <w:rPr>
          <w:rFonts w:ascii="仿宋_GB2312" w:eastAsia="仿宋_GB2312" w:hAnsi="仿宋_GB2312" w:cs="仿宋_GB2312" w:hint="eastAsia"/>
          <w:sz w:val="32"/>
          <w:szCs w:val="32"/>
        </w:rPr>
        <w:t>公务接待费支出决算与2022年度持平。其中：国内公务接待支出0.71万元，主要用于</w:t>
      </w:r>
      <w:r>
        <w:rPr>
          <w:rFonts w:ascii="仿宋_GB2312" w:eastAsia="仿宋_GB2312" w:hAnsi="仿宋_GB2312" w:cs="仿宋_GB2312" w:hint="eastAsia"/>
          <w:color w:val="000000"/>
          <w:sz w:val="32"/>
          <w:szCs w:val="32"/>
        </w:rPr>
        <w:t>执行公务、开展业务活动开支的交通费、住宿费、用餐费等</w:t>
      </w:r>
      <w:r>
        <w:rPr>
          <w:rFonts w:ascii="仿宋_GB2312" w:eastAsia="仿宋_GB2312" w:hAnsi="仿宋_GB2312" w:cs="仿宋_GB2312" w:hint="eastAsia"/>
          <w:sz w:val="32"/>
          <w:szCs w:val="32"/>
        </w:rPr>
        <w:t>。国内公务接待7批次，30人次（不包括陪同人员），共计支出0.71万元，具体内容包括：德阳市场监管局及德阳特检所0.18万元、省局食品飞行检查0.12万元、省核工业辐射测试防护院0.22万元、中测院及特种设备检验公司等0.19万元。</w:t>
      </w:r>
    </w:p>
    <w:p w:rsidR="00774B61" w:rsidRDefault="00C767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外事接待支出0万元。</w:t>
      </w:r>
    </w:p>
    <w:p w:rsidR="00774B61" w:rsidRDefault="00C76726">
      <w:pPr>
        <w:spacing w:line="600" w:lineRule="exact"/>
        <w:ind w:firstLineChars="200" w:firstLine="640"/>
        <w:outlineLvl w:val="1"/>
        <w:rPr>
          <w:rStyle w:val="22"/>
          <w:rFonts w:ascii="黑体" w:eastAsia="黑体" w:hAnsi="黑体"/>
        </w:rPr>
      </w:pPr>
      <w:bookmarkStart w:id="65" w:name="_Toc20106"/>
      <w:r>
        <w:rPr>
          <w:rFonts w:ascii="黑体" w:eastAsia="黑体" w:hint="eastAsia"/>
          <w:sz w:val="32"/>
          <w:szCs w:val="32"/>
        </w:rPr>
        <w:t>八、</w:t>
      </w:r>
      <w:r>
        <w:rPr>
          <w:rStyle w:val="22"/>
          <w:rFonts w:ascii="黑体" w:eastAsia="黑体" w:hAnsi="黑体" w:hint="eastAsia"/>
          <w:b w:val="0"/>
        </w:rPr>
        <w:t>政府性基金预算支出决算情况说明</w:t>
      </w:r>
      <w:bookmarkEnd w:id="63"/>
      <w:bookmarkEnd w:id="64"/>
      <w:bookmarkEnd w:id="65"/>
    </w:p>
    <w:p w:rsidR="00774B61" w:rsidRDefault="00C767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2023年度政府性基金预算财政拨款支出0万元。</w:t>
      </w:r>
    </w:p>
    <w:p w:rsidR="00774B61" w:rsidRDefault="00C76726">
      <w:pPr>
        <w:spacing w:line="600" w:lineRule="exact"/>
        <w:ind w:firstLineChars="200" w:firstLine="640"/>
        <w:outlineLvl w:val="1"/>
        <w:rPr>
          <w:rStyle w:val="22"/>
          <w:rFonts w:ascii="黑体" w:eastAsia="黑体" w:hAnsi="黑体"/>
          <w:b w:val="0"/>
        </w:rPr>
      </w:pPr>
      <w:bookmarkStart w:id="66" w:name="_Toc3441"/>
      <w:bookmarkStart w:id="67" w:name="_Toc15396611"/>
      <w:bookmarkStart w:id="68" w:name="_Toc15377219"/>
      <w:r>
        <w:rPr>
          <w:rStyle w:val="22"/>
          <w:rFonts w:ascii="黑体" w:eastAsia="黑体" w:hAnsi="黑体" w:hint="eastAsia"/>
          <w:b w:val="0"/>
        </w:rPr>
        <w:t>九、国有资本经营预算支出决算情况说明</w:t>
      </w:r>
      <w:bookmarkEnd w:id="66"/>
      <w:bookmarkEnd w:id="67"/>
      <w:bookmarkEnd w:id="68"/>
    </w:p>
    <w:p w:rsidR="00774B61" w:rsidRDefault="00C76726">
      <w:pPr>
        <w:spacing w:line="600" w:lineRule="exact"/>
        <w:ind w:firstLine="640"/>
        <w:rPr>
          <w:rFonts w:ascii="仿宋_GB2312" w:eastAsia="仿宋_GB2312"/>
          <w:sz w:val="32"/>
          <w:szCs w:val="32"/>
        </w:rPr>
      </w:pPr>
      <w:r>
        <w:rPr>
          <w:rFonts w:ascii="仿宋_GB2312" w:eastAsia="仿宋_GB2312" w:hAnsi="仿宋_GB2312" w:cs="仿宋_GB2312" w:hint="eastAsia"/>
          <w:sz w:val="32"/>
          <w:szCs w:val="32"/>
        </w:rPr>
        <w:t>2023年度国有资本经营预算财政拨款支出0万元。</w:t>
      </w:r>
    </w:p>
    <w:p w:rsidR="00774B61" w:rsidRDefault="00C76726">
      <w:pPr>
        <w:spacing w:line="600" w:lineRule="exact"/>
        <w:ind w:firstLineChars="200" w:firstLine="640"/>
        <w:outlineLvl w:val="1"/>
        <w:rPr>
          <w:rStyle w:val="22"/>
          <w:rFonts w:ascii="黑体" w:eastAsia="黑体" w:hAnsi="黑体"/>
          <w:b w:val="0"/>
        </w:rPr>
      </w:pPr>
      <w:bookmarkStart w:id="69" w:name="_Toc25884"/>
      <w:bookmarkStart w:id="70" w:name="_Toc15377221"/>
      <w:bookmarkStart w:id="71" w:name="_Toc15396612"/>
      <w:r>
        <w:rPr>
          <w:rStyle w:val="22"/>
          <w:rFonts w:ascii="黑体" w:eastAsia="黑体" w:hAnsi="黑体" w:hint="eastAsia"/>
          <w:b w:val="0"/>
        </w:rPr>
        <w:t>十、其他重要事项的情况说明</w:t>
      </w:r>
      <w:bookmarkEnd w:id="69"/>
      <w:bookmarkEnd w:id="70"/>
      <w:bookmarkEnd w:id="71"/>
    </w:p>
    <w:p w:rsidR="00774B61" w:rsidRPr="00410C65" w:rsidRDefault="00C76726" w:rsidP="00410C65">
      <w:pPr>
        <w:spacing w:line="600" w:lineRule="exact"/>
        <w:ind w:firstLine="640"/>
        <w:outlineLvl w:val="2"/>
        <w:rPr>
          <w:rFonts w:ascii="楷体" w:eastAsia="楷体" w:hAnsi="楷体"/>
          <w:sz w:val="32"/>
          <w:szCs w:val="32"/>
        </w:rPr>
      </w:pPr>
      <w:bookmarkStart w:id="72" w:name="_Toc15377222"/>
      <w:bookmarkStart w:id="73" w:name="_Toc25832"/>
      <w:r w:rsidRPr="00410C65">
        <w:rPr>
          <w:rFonts w:ascii="楷体" w:eastAsia="楷体" w:hAnsi="楷体" w:hint="eastAsia"/>
          <w:sz w:val="32"/>
          <w:szCs w:val="32"/>
        </w:rPr>
        <w:t>（一）机关运行经费支出情况</w:t>
      </w:r>
      <w:bookmarkEnd w:id="72"/>
      <w:bookmarkEnd w:id="73"/>
    </w:p>
    <w:p w:rsidR="00774B61" w:rsidRDefault="00C767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2023年度，攀西钒</w:t>
      </w:r>
      <w:r w:rsidR="004D4D86">
        <w:rPr>
          <w:rFonts w:ascii="仿宋_GB2312" w:eastAsia="仿宋_GB2312" w:hAnsi="仿宋_GB2312" w:cs="仿宋_GB2312" w:hint="eastAsia"/>
          <w:sz w:val="32"/>
          <w:szCs w:val="32"/>
        </w:rPr>
        <w:t>钛</w:t>
      </w:r>
      <w:r>
        <w:rPr>
          <w:rFonts w:ascii="仿宋_GB2312" w:eastAsia="仿宋_GB2312" w:hAnsi="仿宋_GB2312" w:cs="仿宋_GB2312" w:hint="eastAsia"/>
          <w:sz w:val="32"/>
          <w:szCs w:val="32"/>
        </w:rPr>
        <w:t>检验检测院机关运行经费支出0万元。攀西院是事业单位，无机关运行经费支出。</w:t>
      </w:r>
    </w:p>
    <w:p w:rsidR="00774B61" w:rsidRPr="00410C65" w:rsidRDefault="00C76726" w:rsidP="00410C65">
      <w:pPr>
        <w:spacing w:line="600" w:lineRule="exact"/>
        <w:ind w:firstLine="640"/>
        <w:outlineLvl w:val="2"/>
        <w:rPr>
          <w:rFonts w:ascii="楷体" w:eastAsia="楷体" w:hAnsi="楷体"/>
          <w:sz w:val="32"/>
          <w:szCs w:val="32"/>
        </w:rPr>
      </w:pPr>
      <w:bookmarkStart w:id="74" w:name="_Toc15377223"/>
      <w:bookmarkStart w:id="75" w:name="_Toc17736"/>
      <w:r w:rsidRPr="00410C65">
        <w:rPr>
          <w:rFonts w:ascii="楷体" w:eastAsia="楷体" w:hAnsi="楷体" w:hint="eastAsia"/>
          <w:sz w:val="32"/>
          <w:szCs w:val="32"/>
        </w:rPr>
        <w:t>（二）政府采购支出情况</w:t>
      </w:r>
      <w:bookmarkEnd w:id="74"/>
      <w:bookmarkEnd w:id="75"/>
    </w:p>
    <w:p w:rsidR="00774B61" w:rsidRDefault="00C767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2023年度，四川省攀枝花市攀西钒</w:t>
      </w:r>
      <w:r w:rsidR="004D4D86">
        <w:rPr>
          <w:rFonts w:ascii="仿宋_GB2312" w:eastAsia="仿宋_GB2312" w:hAnsi="仿宋_GB2312" w:cs="仿宋_GB2312" w:hint="eastAsia"/>
          <w:sz w:val="32"/>
          <w:szCs w:val="32"/>
        </w:rPr>
        <w:t>钛</w:t>
      </w:r>
      <w:r>
        <w:rPr>
          <w:rFonts w:ascii="仿宋_GB2312" w:eastAsia="仿宋_GB2312" w:hAnsi="仿宋_GB2312" w:cs="仿宋_GB2312" w:hint="eastAsia"/>
          <w:sz w:val="32"/>
          <w:szCs w:val="32"/>
        </w:rPr>
        <w:t>检验检测院政府采购支出总额249.87万元，其中：政府采购货物支出249.87万元、政府采购工程支出0万元、政府采购服务支出0万元。主要用于</w:t>
      </w:r>
      <w:r>
        <w:rPr>
          <w:rFonts w:ascii="仿宋_GB2312" w:eastAsia="仿宋_GB2312" w:hAnsi="仿宋_GB2312" w:cs="仿宋_GB2312" w:hint="eastAsia"/>
          <w:color w:val="000000"/>
          <w:sz w:val="32"/>
          <w:szCs w:val="32"/>
        </w:rPr>
        <w:t>购置产品质检、食品药品检验、特种设备检测等专用设备，有利于业务开展</w:t>
      </w:r>
      <w:r>
        <w:rPr>
          <w:rFonts w:ascii="仿宋_GB2312" w:eastAsia="仿宋_GB2312" w:hAnsi="仿宋_GB2312" w:cs="仿宋_GB2312" w:hint="eastAsia"/>
          <w:sz w:val="32"/>
          <w:szCs w:val="32"/>
        </w:rPr>
        <w:t>。授予中小企业合同金额0万元，占政府采购支出总额的0%，其中：授予小微企业合同金额0万元，占政府采购支出总额的0%。</w:t>
      </w:r>
    </w:p>
    <w:p w:rsidR="00774B61" w:rsidRPr="00410C65" w:rsidRDefault="00C76726" w:rsidP="00410C65">
      <w:pPr>
        <w:spacing w:line="600" w:lineRule="exact"/>
        <w:ind w:firstLine="640"/>
        <w:outlineLvl w:val="2"/>
        <w:rPr>
          <w:rFonts w:ascii="楷体" w:eastAsia="楷体" w:hAnsi="楷体"/>
          <w:sz w:val="32"/>
          <w:szCs w:val="32"/>
        </w:rPr>
      </w:pPr>
      <w:bookmarkStart w:id="76" w:name="_Toc15377224"/>
      <w:bookmarkStart w:id="77" w:name="_Toc26706"/>
      <w:r w:rsidRPr="00410C65">
        <w:rPr>
          <w:rFonts w:ascii="楷体" w:eastAsia="楷体" w:hAnsi="楷体" w:hint="eastAsia"/>
          <w:sz w:val="32"/>
          <w:szCs w:val="32"/>
        </w:rPr>
        <w:t>（三）国有资产占有使用情况</w:t>
      </w:r>
      <w:bookmarkEnd w:id="76"/>
      <w:bookmarkEnd w:id="77"/>
    </w:p>
    <w:p w:rsidR="00774B61" w:rsidRDefault="00C76726">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sz w:val="32"/>
          <w:szCs w:val="32"/>
        </w:rPr>
        <w:t>四川省攀枝花市攀西钒</w:t>
      </w:r>
      <w:r w:rsidR="00214F03">
        <w:rPr>
          <w:rFonts w:ascii="仿宋_GB2312" w:eastAsia="仿宋_GB2312" w:hAnsi="仿宋_GB2312" w:cs="仿宋_GB2312" w:hint="eastAsia"/>
          <w:sz w:val="32"/>
          <w:szCs w:val="32"/>
        </w:rPr>
        <w:t>钛</w:t>
      </w:r>
      <w:r>
        <w:rPr>
          <w:rFonts w:ascii="仿宋_GB2312" w:eastAsia="仿宋_GB2312"/>
          <w:sz w:val="32"/>
          <w:szCs w:val="32"/>
        </w:rPr>
        <w:t>检验检测院</w:t>
      </w:r>
      <w:r>
        <w:rPr>
          <w:rFonts w:ascii="仿宋_GB2312" w:eastAsia="仿宋_GB2312" w:hint="eastAsia"/>
          <w:sz w:val="32"/>
          <w:szCs w:val="32"/>
        </w:rPr>
        <w:t>共有车辆16辆，其中：主要领导干部用车0辆、机要通信用车0辆、应急保障用车0辆、特种专业技术用车9辆、其他用车7辆，</w:t>
      </w:r>
      <w:r>
        <w:rPr>
          <w:rFonts w:ascii="仿宋_GB2312" w:eastAsia="仿宋_GB2312" w:hint="eastAsia"/>
          <w:sz w:val="32"/>
          <w:szCs w:val="32"/>
        </w:rPr>
        <w:lastRenderedPageBreak/>
        <w:t>其他用车主要是用于</w:t>
      </w:r>
      <w:r>
        <w:rPr>
          <w:rFonts w:ascii="仿宋_GB2312" w:eastAsia="仿宋_GB2312" w:hint="eastAsia"/>
          <w:color w:val="000000"/>
          <w:sz w:val="32"/>
          <w:szCs w:val="32"/>
        </w:rPr>
        <w:t>开展检验检测工作。</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万元以上专用设备15台（套）。</w:t>
      </w:r>
    </w:p>
    <w:p w:rsidR="00774B61" w:rsidRPr="00410C65" w:rsidRDefault="00C76726" w:rsidP="00410C65">
      <w:pPr>
        <w:spacing w:line="600" w:lineRule="exact"/>
        <w:ind w:firstLine="640"/>
        <w:outlineLvl w:val="2"/>
        <w:rPr>
          <w:rFonts w:ascii="楷体" w:eastAsia="楷体" w:hAnsi="楷体"/>
          <w:sz w:val="32"/>
          <w:szCs w:val="32"/>
        </w:rPr>
      </w:pPr>
      <w:bookmarkStart w:id="78" w:name="_Toc18534"/>
      <w:r w:rsidRPr="00410C65">
        <w:rPr>
          <w:rFonts w:ascii="楷体" w:eastAsia="楷体" w:hAnsi="楷体" w:hint="eastAsia"/>
          <w:sz w:val="32"/>
          <w:szCs w:val="32"/>
        </w:rPr>
        <w:t>（四）预算绩效管理情况</w:t>
      </w:r>
      <w:bookmarkEnd w:id="78"/>
    </w:p>
    <w:p w:rsidR="00774B61" w:rsidRDefault="00C76726">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根据预算绩效管理要求，本单位在2023年度预算编制阶段，组织对攀西战略资源创新开发项目等</w:t>
      </w:r>
      <w:r w:rsidR="005B2BB8">
        <w:rPr>
          <w:rFonts w:ascii="仿宋_GB2312" w:eastAsia="仿宋_GB2312"/>
          <w:sz w:val="32"/>
          <w:szCs w:val="32"/>
        </w:rPr>
        <w:t>3</w:t>
      </w:r>
      <w:r>
        <w:rPr>
          <w:rFonts w:ascii="仿宋_GB2312" w:eastAsia="仿宋_GB2312" w:hint="eastAsia"/>
          <w:sz w:val="32"/>
          <w:szCs w:val="32"/>
        </w:rPr>
        <w:t>个项目开展了预算事前绩效评估，对</w:t>
      </w:r>
      <w:r w:rsidR="00055CD7">
        <w:rPr>
          <w:rFonts w:ascii="仿宋_GB2312" w:eastAsia="仿宋_GB2312"/>
          <w:sz w:val="32"/>
          <w:szCs w:val="32"/>
        </w:rPr>
        <w:t>3</w:t>
      </w:r>
      <w:r>
        <w:rPr>
          <w:rFonts w:ascii="仿宋_GB2312" w:eastAsia="仿宋_GB2312" w:hint="eastAsia"/>
          <w:sz w:val="32"/>
          <w:szCs w:val="32"/>
        </w:rPr>
        <w:t>个项目编制了绩效目标，预算执行过程中，选取</w:t>
      </w:r>
      <w:r w:rsidR="00530669">
        <w:rPr>
          <w:rFonts w:ascii="仿宋_GB2312" w:eastAsia="仿宋_GB2312"/>
          <w:sz w:val="32"/>
          <w:szCs w:val="32"/>
        </w:rPr>
        <w:t>1</w:t>
      </w:r>
      <w:r w:rsidR="005A25C2">
        <w:rPr>
          <w:rFonts w:ascii="仿宋_GB2312" w:eastAsia="仿宋_GB2312"/>
          <w:sz w:val="32"/>
          <w:szCs w:val="32"/>
        </w:rPr>
        <w:t>4</w:t>
      </w:r>
      <w:r>
        <w:rPr>
          <w:rFonts w:ascii="仿宋_GB2312" w:eastAsia="仿宋_GB2312" w:hint="eastAsia"/>
          <w:sz w:val="32"/>
          <w:szCs w:val="32"/>
        </w:rPr>
        <w:t>个项目开展绩效监控，组织对</w:t>
      </w:r>
      <w:r w:rsidR="00530669">
        <w:rPr>
          <w:rFonts w:ascii="仿宋_GB2312" w:eastAsia="仿宋_GB2312"/>
          <w:sz w:val="32"/>
          <w:szCs w:val="32"/>
        </w:rPr>
        <w:t>16</w:t>
      </w:r>
      <w:r>
        <w:rPr>
          <w:rFonts w:ascii="仿宋_GB2312" w:eastAsia="仿宋_GB2312" w:hint="eastAsia"/>
          <w:sz w:val="32"/>
          <w:szCs w:val="32"/>
        </w:rPr>
        <w:t>个项目开展绩效自评，绩效自评表详见第四部分附件。</w:t>
      </w:r>
      <w:r>
        <w:rPr>
          <w:rFonts w:ascii="仿宋_GB2312" w:eastAsia="仿宋_GB2312" w:hint="eastAsia"/>
          <w:sz w:val="32"/>
          <w:szCs w:val="32"/>
        </w:rPr>
        <w:br w:type="page"/>
      </w:r>
    </w:p>
    <w:p w:rsidR="00774B61" w:rsidRDefault="00C76726">
      <w:pPr>
        <w:numPr>
          <w:ilvl w:val="0"/>
          <w:numId w:val="4"/>
        </w:numPr>
        <w:spacing w:line="600" w:lineRule="exact"/>
        <w:ind w:firstLineChars="150" w:firstLine="660"/>
        <w:jc w:val="center"/>
        <w:outlineLvl w:val="0"/>
        <w:rPr>
          <w:rStyle w:val="1Char"/>
          <w:rFonts w:ascii="黑体" w:eastAsia="黑体" w:hAnsi="黑体"/>
          <w:b w:val="0"/>
        </w:rPr>
      </w:pPr>
      <w:bookmarkStart w:id="79" w:name="_Toc15377225"/>
      <w:bookmarkStart w:id="80" w:name="_Toc15396613"/>
      <w:bookmarkStart w:id="81" w:name="_Toc19329"/>
      <w:r>
        <w:rPr>
          <w:rFonts w:ascii="黑体" w:eastAsia="黑体" w:hAnsi="黑体" w:hint="eastAsia"/>
          <w:sz w:val="44"/>
          <w:szCs w:val="44"/>
        </w:rPr>
        <w:lastRenderedPageBreak/>
        <w:t>名</w:t>
      </w:r>
      <w:r>
        <w:rPr>
          <w:rStyle w:val="1Char"/>
          <w:rFonts w:ascii="黑体" w:eastAsia="黑体" w:hAnsi="黑体" w:hint="eastAsia"/>
          <w:b w:val="0"/>
        </w:rPr>
        <w:t>词解释</w:t>
      </w:r>
      <w:bookmarkEnd w:id="79"/>
      <w:bookmarkEnd w:id="80"/>
      <w:bookmarkEnd w:id="81"/>
    </w:p>
    <w:p w:rsidR="00774B61" w:rsidRDefault="00774B61">
      <w:pPr>
        <w:spacing w:line="600" w:lineRule="exact"/>
        <w:jc w:val="left"/>
        <w:rPr>
          <w:rFonts w:ascii="宋体"/>
          <w:b/>
          <w:sz w:val="44"/>
          <w:szCs w:val="44"/>
        </w:rPr>
      </w:pPr>
    </w:p>
    <w:p w:rsidR="00774B61" w:rsidRDefault="00C76726">
      <w:pPr>
        <w:pStyle w:val="Default"/>
        <w:spacing w:line="560" w:lineRule="exact"/>
        <w:ind w:firstLineChars="200" w:firstLine="640"/>
        <w:outlineLvl w:val="1"/>
        <w:rPr>
          <w:rFonts w:ascii="仿宋_GB2312" w:eastAsia="仿宋_GB2312" w:hAnsi="仿宋_GB2312" w:cs="仿宋_GB2312"/>
          <w:color w:val="auto"/>
          <w:sz w:val="32"/>
          <w:szCs w:val="32"/>
        </w:rPr>
      </w:pPr>
      <w:bookmarkStart w:id="82" w:name="_Toc7002"/>
      <w:r>
        <w:rPr>
          <w:rFonts w:ascii="仿宋_GB2312" w:eastAsia="仿宋_GB2312" w:hAnsi="仿宋_GB2312" w:cs="仿宋_GB2312" w:hint="eastAsia"/>
          <w:color w:val="auto"/>
          <w:sz w:val="32"/>
          <w:szCs w:val="32"/>
        </w:rPr>
        <w:t>1.财政拨款收入：指单位从同级财政部门取得的财政预算资金。</w:t>
      </w:r>
      <w:bookmarkEnd w:id="82"/>
    </w:p>
    <w:p w:rsidR="00774B61" w:rsidRDefault="00C76726">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2.使用非财政拨款结余：指事业单位使用以前年度积累的非财政拨款结余弥补当年收支差额的金额。 </w:t>
      </w:r>
    </w:p>
    <w:p w:rsidR="00774B61" w:rsidRDefault="00C76726">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3.年初结转和结余：指以前年度尚未完成、结转到本年按有关规定继续使用的资金。 </w:t>
      </w:r>
    </w:p>
    <w:p w:rsidR="00774B61" w:rsidRDefault="00C76726">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4.年末结转和结余：指单位按有关规定结转到下年或以后年度继续使用的资金。</w:t>
      </w:r>
    </w:p>
    <w:p w:rsidR="00774B61" w:rsidRDefault="00C76726">
      <w:pPr>
        <w:spacing w:line="326" w:lineRule="auto"/>
        <w:ind w:firstLineChars="200" w:firstLine="640"/>
        <w:jc w:val="left"/>
        <w:rPr>
          <w:rStyle w:val="a8"/>
          <w:rFonts w:ascii="仿宋_GB2312" w:eastAsia="仿宋_GB2312" w:hAnsi="仿宋_GB2312" w:cs="仿宋_GB2312"/>
          <w:b w:val="0"/>
          <w:color w:val="000000"/>
          <w:sz w:val="32"/>
          <w:szCs w:val="32"/>
        </w:rPr>
      </w:pPr>
      <w:r>
        <w:rPr>
          <w:rStyle w:val="a8"/>
          <w:rFonts w:ascii="仿宋_GB2312" w:eastAsia="仿宋_GB2312" w:hAnsi="仿宋_GB2312" w:cs="仿宋_GB2312" w:hint="eastAsia"/>
          <w:b w:val="0"/>
          <w:color w:val="000000"/>
          <w:sz w:val="32"/>
          <w:szCs w:val="32"/>
        </w:rPr>
        <w:t>5.一般公共服务支出（类）市场监督管理事务（款）  食品安全监管（项）:反映用于食品监督管理方面的支出。</w:t>
      </w:r>
    </w:p>
    <w:p w:rsidR="00774B61" w:rsidRDefault="00C76726">
      <w:pPr>
        <w:spacing w:line="326" w:lineRule="auto"/>
        <w:ind w:firstLineChars="200" w:firstLine="640"/>
        <w:jc w:val="left"/>
        <w:rPr>
          <w:rStyle w:val="a8"/>
          <w:rFonts w:ascii="仿宋_GB2312" w:eastAsia="仿宋_GB2312" w:hAnsi="仿宋_GB2312" w:cs="仿宋_GB2312"/>
          <w:b w:val="0"/>
          <w:color w:val="000000"/>
          <w:sz w:val="32"/>
          <w:szCs w:val="32"/>
        </w:rPr>
      </w:pPr>
      <w:r>
        <w:rPr>
          <w:rStyle w:val="a8"/>
          <w:rFonts w:ascii="仿宋_GB2312" w:eastAsia="仿宋_GB2312" w:hAnsi="仿宋_GB2312" w:cs="仿宋_GB2312" w:hint="eastAsia"/>
          <w:b w:val="0"/>
          <w:color w:val="000000"/>
          <w:sz w:val="32"/>
          <w:szCs w:val="32"/>
        </w:rPr>
        <w:t xml:space="preserve">6.一般公共服务（类）市场监督管理事务（款）事业运行（项）: </w:t>
      </w:r>
      <w:r>
        <w:rPr>
          <w:rFonts w:ascii="仿宋_GB2312" w:eastAsia="仿宋_GB2312" w:hAnsi="仿宋_GB2312" w:cs="仿宋_GB2312" w:hint="eastAsia"/>
          <w:sz w:val="32"/>
          <w:szCs w:val="32"/>
        </w:rPr>
        <w:t>指用于事业单位的基本支出。</w:t>
      </w:r>
    </w:p>
    <w:p w:rsidR="00774B61" w:rsidRDefault="00C76726">
      <w:pPr>
        <w:spacing w:line="326" w:lineRule="auto"/>
        <w:ind w:firstLineChars="200" w:firstLine="640"/>
        <w:jc w:val="left"/>
        <w:rPr>
          <w:rStyle w:val="a8"/>
          <w:rFonts w:ascii="仿宋_GB2312" w:eastAsia="仿宋_GB2312" w:hAnsi="仿宋_GB2312" w:cs="仿宋_GB2312"/>
          <w:b w:val="0"/>
          <w:sz w:val="32"/>
          <w:szCs w:val="32"/>
        </w:rPr>
      </w:pPr>
      <w:r>
        <w:rPr>
          <w:rStyle w:val="a8"/>
          <w:rFonts w:ascii="仿宋_GB2312" w:eastAsia="仿宋_GB2312" w:hAnsi="仿宋_GB2312" w:cs="仿宋_GB2312" w:hint="eastAsia"/>
          <w:b w:val="0"/>
          <w:color w:val="000000"/>
          <w:sz w:val="32"/>
          <w:szCs w:val="32"/>
        </w:rPr>
        <w:t xml:space="preserve">7.一般公共服务（类）市场监督管理事务（款）其他市场监督管理事务（项）: </w:t>
      </w:r>
      <w:r>
        <w:rPr>
          <w:rStyle w:val="a8"/>
          <w:rFonts w:ascii="仿宋_GB2312" w:eastAsia="仿宋_GB2312" w:hAnsi="仿宋_GB2312" w:cs="仿宋_GB2312" w:hint="eastAsia"/>
          <w:b w:val="0"/>
          <w:sz w:val="32"/>
          <w:szCs w:val="32"/>
        </w:rPr>
        <w:t>指反映用于除上述项目以外其他市场监督管理事务方面的支出。</w:t>
      </w:r>
    </w:p>
    <w:p w:rsidR="00774B61" w:rsidRDefault="00C76726">
      <w:pPr>
        <w:spacing w:line="326" w:lineRule="auto"/>
        <w:ind w:firstLineChars="200" w:firstLine="640"/>
        <w:jc w:val="left"/>
        <w:rPr>
          <w:rStyle w:val="a8"/>
          <w:rFonts w:ascii="仿宋_GB2312" w:eastAsia="仿宋_GB2312" w:hAnsi="仿宋_GB2312" w:cs="仿宋_GB2312"/>
          <w:b w:val="0"/>
          <w:color w:val="000000"/>
          <w:sz w:val="32"/>
          <w:szCs w:val="32"/>
        </w:rPr>
      </w:pPr>
      <w:r>
        <w:rPr>
          <w:rStyle w:val="a8"/>
          <w:rFonts w:ascii="仿宋_GB2312" w:eastAsia="仿宋_GB2312" w:hAnsi="仿宋_GB2312" w:cs="仿宋_GB2312" w:hint="eastAsia"/>
          <w:b w:val="0"/>
          <w:sz w:val="32"/>
          <w:szCs w:val="32"/>
        </w:rPr>
        <w:t>8.</w:t>
      </w:r>
      <w:r>
        <w:rPr>
          <w:rStyle w:val="a8"/>
          <w:rFonts w:ascii="仿宋_GB2312" w:eastAsia="仿宋_GB2312" w:hAnsi="仿宋_GB2312" w:cs="仿宋_GB2312" w:hint="eastAsia"/>
          <w:b w:val="0"/>
          <w:color w:val="000000"/>
          <w:sz w:val="32"/>
          <w:szCs w:val="32"/>
        </w:rPr>
        <w:t>科学技术支出（类）技术研究与开发（款）其他技术研究与开发（项）：指反映除上述项目以外其他用于技术研究与开发方面的支出。</w:t>
      </w:r>
    </w:p>
    <w:p w:rsidR="00774B61" w:rsidRDefault="00C7672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Style w:val="a8"/>
          <w:rFonts w:ascii="仿宋_GB2312" w:eastAsia="仿宋_GB2312" w:hAnsi="仿宋_GB2312" w:cs="仿宋_GB2312" w:hint="eastAsia"/>
          <w:b w:val="0"/>
          <w:color w:val="000000"/>
          <w:sz w:val="32"/>
          <w:szCs w:val="32"/>
        </w:rPr>
        <w:t>社会保障和就业支出（类）人力资源和社会保障管理事务</w:t>
      </w:r>
      <w:r>
        <w:rPr>
          <w:rStyle w:val="a8"/>
          <w:rFonts w:ascii="仿宋_GB2312" w:eastAsia="仿宋_GB2312" w:hAnsi="仿宋_GB2312" w:cs="仿宋_GB2312" w:hint="eastAsia"/>
          <w:b w:val="0"/>
          <w:color w:val="000000"/>
          <w:sz w:val="32"/>
          <w:szCs w:val="32"/>
        </w:rPr>
        <w:lastRenderedPageBreak/>
        <w:t>（款）其他人力资源和社会保障和管理事务支出（项）:指反映除上述项目以外其他用于人力资源和社会保障和管理事务支出。</w:t>
      </w:r>
    </w:p>
    <w:p w:rsidR="00774B61" w:rsidRDefault="00C76726">
      <w:pPr>
        <w:pStyle w:val="Default"/>
        <w:spacing w:line="326" w:lineRule="auto"/>
        <w:rPr>
          <w:rStyle w:val="a8"/>
          <w:rFonts w:ascii="仿宋_GB2312" w:eastAsia="仿宋_GB2312" w:hAnsi="仿宋_GB2312" w:cs="仿宋_GB2312"/>
          <w:b w:val="0"/>
          <w:sz w:val="32"/>
          <w:szCs w:val="32"/>
        </w:rPr>
      </w:pPr>
      <w:r>
        <w:rPr>
          <w:rStyle w:val="a8"/>
          <w:rFonts w:ascii="仿宋_GB2312" w:eastAsia="仿宋_GB2312" w:hAnsi="仿宋_GB2312" w:cs="仿宋_GB2312" w:hint="eastAsia"/>
          <w:b w:val="0"/>
          <w:sz w:val="32"/>
          <w:szCs w:val="32"/>
        </w:rPr>
        <w:t xml:space="preserve">  </w:t>
      </w:r>
      <w:r w:rsidR="00327102">
        <w:rPr>
          <w:rStyle w:val="a8"/>
          <w:rFonts w:ascii="仿宋_GB2312" w:eastAsia="仿宋_GB2312" w:hAnsi="仿宋_GB2312" w:cs="仿宋_GB2312"/>
          <w:b w:val="0"/>
          <w:sz w:val="32"/>
          <w:szCs w:val="32"/>
        </w:rPr>
        <w:t xml:space="preserve">  </w:t>
      </w:r>
      <w:r>
        <w:rPr>
          <w:rStyle w:val="a8"/>
          <w:rFonts w:ascii="仿宋_GB2312" w:eastAsia="仿宋_GB2312" w:hAnsi="仿宋_GB2312" w:cs="仿宋_GB2312" w:hint="eastAsia"/>
          <w:b w:val="0"/>
          <w:sz w:val="32"/>
          <w:szCs w:val="32"/>
        </w:rPr>
        <w:t xml:space="preserve"> 10.社会保障和就业（类）行政事业单位离退休（款）事业单位离退休（项）:</w:t>
      </w:r>
      <w:r>
        <w:rPr>
          <w:rFonts w:ascii="仿宋_GB2312" w:eastAsia="仿宋_GB2312" w:hAnsi="仿宋_GB2312" w:cs="仿宋_GB2312" w:hint="eastAsia"/>
          <w:sz w:val="32"/>
          <w:szCs w:val="32"/>
        </w:rPr>
        <w:t>指事业单位开支的离退休支出。</w:t>
      </w:r>
    </w:p>
    <w:p w:rsidR="00774B61" w:rsidRDefault="00C76726">
      <w:pPr>
        <w:pStyle w:val="Default"/>
        <w:spacing w:line="326" w:lineRule="auto"/>
        <w:ind w:firstLineChars="200" w:firstLine="640"/>
        <w:rPr>
          <w:rFonts w:ascii="仿宋_GB2312" w:eastAsia="仿宋_GB2312" w:hAnsi="仿宋_GB2312" w:cs="仿宋_GB2312"/>
          <w:sz w:val="32"/>
          <w:szCs w:val="32"/>
        </w:rPr>
      </w:pPr>
      <w:r>
        <w:rPr>
          <w:rStyle w:val="a8"/>
          <w:rFonts w:ascii="仿宋_GB2312" w:eastAsia="仿宋_GB2312" w:hAnsi="仿宋_GB2312" w:cs="仿宋_GB2312" w:hint="eastAsia"/>
          <w:b w:val="0"/>
          <w:sz w:val="32"/>
          <w:szCs w:val="32"/>
        </w:rPr>
        <w:t xml:space="preserve">11.社会保障和就业（类）行政事业单位离退休（款）机关事业单位基本养老保险缴费支出（项）: </w:t>
      </w:r>
      <w:r>
        <w:rPr>
          <w:rFonts w:ascii="仿宋_GB2312" w:eastAsia="仿宋_GB2312" w:hAnsi="仿宋_GB2312" w:cs="仿宋_GB2312" w:hint="eastAsia"/>
          <w:sz w:val="32"/>
          <w:szCs w:val="32"/>
        </w:rPr>
        <w:t>指机关事业单位实施养老保险制度由单位缴纳的基本养老保险支出。</w:t>
      </w:r>
    </w:p>
    <w:p w:rsidR="00774B61" w:rsidRDefault="00C76726">
      <w:pPr>
        <w:pStyle w:val="Default"/>
        <w:spacing w:line="326" w:lineRule="auto"/>
        <w:ind w:firstLineChars="200" w:firstLine="640"/>
        <w:rPr>
          <w:rStyle w:val="a8"/>
          <w:rFonts w:ascii="仿宋_GB2312" w:eastAsia="仿宋_GB2312" w:hAnsi="仿宋_GB2312" w:cs="仿宋_GB2312"/>
          <w:b w:val="0"/>
          <w:sz w:val="32"/>
          <w:szCs w:val="32"/>
        </w:rPr>
      </w:pPr>
      <w:r>
        <w:rPr>
          <w:rFonts w:ascii="仿宋_GB2312" w:eastAsia="仿宋_GB2312" w:hAnsi="仿宋_GB2312" w:cs="仿宋_GB2312" w:hint="eastAsia"/>
          <w:sz w:val="32"/>
          <w:szCs w:val="32"/>
        </w:rPr>
        <w:t>12.</w:t>
      </w:r>
      <w:r>
        <w:rPr>
          <w:rStyle w:val="a8"/>
          <w:rFonts w:ascii="仿宋_GB2312" w:eastAsia="仿宋_GB2312" w:hAnsi="仿宋_GB2312" w:cs="仿宋_GB2312" w:hint="eastAsia"/>
          <w:b w:val="0"/>
          <w:sz w:val="32"/>
          <w:szCs w:val="32"/>
        </w:rPr>
        <w:t>社会保障和就业支出（类）行政事业单位养老支出（款）机关事业单位职业年金缴费支出（项）:指机关事业单位实施养老保险制度由单位实际缴纳的职业年金支出。</w:t>
      </w:r>
    </w:p>
    <w:p w:rsidR="00774B61" w:rsidRDefault="00C76726">
      <w:pPr>
        <w:pStyle w:val="Default"/>
        <w:spacing w:line="326" w:lineRule="auto"/>
        <w:ind w:firstLineChars="200" w:firstLine="640"/>
        <w:rPr>
          <w:rStyle w:val="a8"/>
          <w:rFonts w:ascii="仿宋_GB2312" w:eastAsia="仿宋_GB2312" w:hAnsi="仿宋_GB2312" w:cs="仿宋_GB2312"/>
          <w:b w:val="0"/>
          <w:sz w:val="32"/>
          <w:szCs w:val="32"/>
        </w:rPr>
      </w:pPr>
      <w:r>
        <w:rPr>
          <w:rStyle w:val="a8"/>
          <w:rFonts w:ascii="仿宋_GB2312" w:eastAsia="仿宋_GB2312" w:hAnsi="仿宋_GB2312" w:cs="仿宋_GB2312" w:hint="eastAsia"/>
          <w:b w:val="0"/>
          <w:sz w:val="32"/>
          <w:szCs w:val="32"/>
        </w:rPr>
        <w:t>13.社会保障和就业支出（类）抚恤（款）死亡抚恤（项）:指按规定用于烈士和牺牲、病故人员家属的一次性和定期抚恤金、丧葬补助。</w:t>
      </w:r>
    </w:p>
    <w:p w:rsidR="00B945A9" w:rsidRDefault="00C76726" w:rsidP="00B945A9">
      <w:pPr>
        <w:pStyle w:val="a3"/>
        <w:spacing w:before="93"/>
        <w:ind w:firstLine="600"/>
        <w:rPr>
          <w:rStyle w:val="a8"/>
          <w:b w:val="0"/>
          <w:bCs/>
          <w:color w:val="000000"/>
          <w:sz w:val="32"/>
          <w:szCs w:val="32"/>
        </w:rPr>
      </w:pPr>
      <w:r>
        <w:rPr>
          <w:rStyle w:val="a8"/>
          <w:rFonts w:hAnsi="仿宋_GB2312" w:cs="仿宋_GB2312" w:hint="eastAsia"/>
          <w:b w:val="0"/>
          <w:color w:val="000000"/>
          <w:sz w:val="32"/>
          <w:szCs w:val="32"/>
        </w:rPr>
        <w:t>14.</w:t>
      </w:r>
      <w:r w:rsidR="00B945A9" w:rsidRPr="00B945A9">
        <w:rPr>
          <w:rStyle w:val="a8"/>
          <w:rFonts w:hint="eastAsia"/>
          <w:b w:val="0"/>
          <w:bCs/>
          <w:color w:val="000000"/>
          <w:sz w:val="32"/>
          <w:szCs w:val="32"/>
        </w:rPr>
        <w:t xml:space="preserve"> </w:t>
      </w:r>
      <w:r w:rsidR="00B945A9" w:rsidRPr="00D72292">
        <w:rPr>
          <w:rStyle w:val="a8"/>
          <w:rFonts w:hint="eastAsia"/>
          <w:b w:val="0"/>
          <w:bCs/>
          <w:color w:val="000000"/>
          <w:sz w:val="32"/>
          <w:szCs w:val="32"/>
        </w:rPr>
        <w:t>卫生健康支出（类）行政事业单位医疗（款）事业单位医疗（项）: 反映财政部门安排的事业单位基本医疗保险缴费经费，未参加医疗保险的行政单位的公费医疗经费，按国家规定享受离休人员待遇的医疗经费。</w:t>
      </w:r>
    </w:p>
    <w:p w:rsidR="00B945A9" w:rsidRPr="00D72292" w:rsidRDefault="00B945A9" w:rsidP="00B945A9">
      <w:pPr>
        <w:pStyle w:val="a3"/>
        <w:spacing w:before="93"/>
        <w:ind w:firstLine="600"/>
        <w:rPr>
          <w:rStyle w:val="a8"/>
          <w:b w:val="0"/>
          <w:bCs/>
          <w:color w:val="000000"/>
          <w:sz w:val="32"/>
          <w:szCs w:val="32"/>
        </w:rPr>
      </w:pPr>
      <w:r>
        <w:rPr>
          <w:rStyle w:val="a8"/>
          <w:rFonts w:hint="eastAsia"/>
          <w:b w:val="0"/>
          <w:bCs/>
          <w:color w:val="000000"/>
          <w:sz w:val="32"/>
          <w:szCs w:val="32"/>
        </w:rPr>
        <w:t>15.</w:t>
      </w:r>
      <w:r w:rsidRPr="00B945A9">
        <w:rPr>
          <w:rStyle w:val="a8"/>
          <w:rFonts w:hint="eastAsia"/>
          <w:b w:val="0"/>
          <w:bCs/>
          <w:color w:val="000000"/>
          <w:sz w:val="32"/>
          <w:szCs w:val="32"/>
        </w:rPr>
        <w:t xml:space="preserve"> </w:t>
      </w:r>
      <w:r w:rsidRPr="00D72292">
        <w:rPr>
          <w:rStyle w:val="a8"/>
          <w:rFonts w:hint="eastAsia"/>
          <w:b w:val="0"/>
          <w:bCs/>
          <w:color w:val="000000"/>
          <w:sz w:val="32"/>
          <w:szCs w:val="32"/>
        </w:rPr>
        <w:t>卫生健康支出（类）行政事业单位医疗（款）公务员医疗补助（项）: 反映财政部门安排的公务员医疗补助经费。</w:t>
      </w:r>
    </w:p>
    <w:p w:rsidR="00774B61" w:rsidRDefault="00C76726">
      <w:pPr>
        <w:pStyle w:val="Default"/>
        <w:spacing w:line="326" w:lineRule="auto"/>
        <w:ind w:firstLineChars="200" w:firstLine="640"/>
        <w:rPr>
          <w:rStyle w:val="a8"/>
          <w:rFonts w:ascii="仿宋_GB2312" w:eastAsia="仿宋_GB2312" w:hAnsi="仿宋_GB2312" w:cs="仿宋_GB2312"/>
          <w:b w:val="0"/>
          <w:sz w:val="32"/>
          <w:szCs w:val="32"/>
        </w:rPr>
      </w:pPr>
      <w:r>
        <w:rPr>
          <w:rStyle w:val="a8"/>
          <w:rFonts w:ascii="仿宋_GB2312" w:eastAsia="仿宋_GB2312" w:hAnsi="仿宋_GB2312" w:cs="仿宋_GB2312" w:hint="eastAsia"/>
          <w:b w:val="0"/>
          <w:sz w:val="32"/>
          <w:szCs w:val="32"/>
        </w:rPr>
        <w:t>1</w:t>
      </w:r>
      <w:r w:rsidR="00B945A9">
        <w:rPr>
          <w:rStyle w:val="a8"/>
          <w:rFonts w:ascii="仿宋_GB2312" w:eastAsia="仿宋_GB2312" w:hAnsi="仿宋_GB2312" w:cs="仿宋_GB2312"/>
          <w:b w:val="0"/>
          <w:sz w:val="32"/>
          <w:szCs w:val="32"/>
        </w:rPr>
        <w:t>6</w:t>
      </w:r>
      <w:r>
        <w:rPr>
          <w:rStyle w:val="a8"/>
          <w:rFonts w:ascii="仿宋_GB2312" w:eastAsia="仿宋_GB2312" w:hAnsi="仿宋_GB2312" w:cs="仿宋_GB2312" w:hint="eastAsia"/>
          <w:b w:val="0"/>
          <w:sz w:val="32"/>
          <w:szCs w:val="32"/>
        </w:rPr>
        <w:t>.卫生健康支出（类）行政事业单位医疗（款）其他行政</w:t>
      </w:r>
      <w:r>
        <w:rPr>
          <w:rStyle w:val="a8"/>
          <w:rFonts w:ascii="仿宋_GB2312" w:eastAsia="仿宋_GB2312" w:hAnsi="仿宋_GB2312" w:cs="仿宋_GB2312" w:hint="eastAsia"/>
          <w:b w:val="0"/>
          <w:sz w:val="32"/>
          <w:szCs w:val="32"/>
        </w:rPr>
        <w:lastRenderedPageBreak/>
        <w:t>事业单位医疗支出（项）指：反映除上述项目以外的其他用于行政事业单位医疗方面的支出。</w:t>
      </w:r>
    </w:p>
    <w:p w:rsidR="00774B61" w:rsidRDefault="00C76726">
      <w:pPr>
        <w:pStyle w:val="Default"/>
        <w:spacing w:line="32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B945A9">
        <w:rPr>
          <w:rFonts w:ascii="仿宋_GB2312" w:eastAsia="仿宋_GB2312" w:hAnsi="仿宋_GB2312" w:cs="仿宋_GB2312"/>
          <w:sz w:val="32"/>
          <w:szCs w:val="32"/>
        </w:rPr>
        <w:t>7</w:t>
      </w:r>
      <w:r>
        <w:rPr>
          <w:rFonts w:ascii="仿宋_GB2312" w:eastAsia="仿宋_GB2312" w:hAnsi="仿宋_GB2312" w:cs="仿宋_GB2312" w:hint="eastAsia"/>
          <w:sz w:val="32"/>
          <w:szCs w:val="32"/>
        </w:rPr>
        <w:t>.住房保障</w:t>
      </w:r>
      <w:r>
        <w:rPr>
          <w:rStyle w:val="a8"/>
          <w:rFonts w:ascii="仿宋_GB2312" w:eastAsia="仿宋_GB2312" w:hAnsi="仿宋_GB2312" w:cs="仿宋_GB2312" w:hint="eastAsia"/>
          <w:b w:val="0"/>
          <w:sz w:val="32"/>
          <w:szCs w:val="32"/>
        </w:rPr>
        <w:t>（类）住房改革支出（款）住房公积金（项）:</w:t>
      </w:r>
      <w:r>
        <w:rPr>
          <w:rFonts w:ascii="仿宋_GB2312" w:eastAsia="仿宋_GB2312" w:hAnsi="仿宋_GB2312" w:cs="仿宋_GB2312" w:hint="eastAsia"/>
          <w:sz w:val="32"/>
          <w:szCs w:val="32"/>
        </w:rPr>
        <w:t>指行政事业单位按人力资源和社会保障部、财政部规定的基本工资和津贴补贴以及按规定比例为职工缴纳的住房公积金。</w:t>
      </w:r>
    </w:p>
    <w:p w:rsidR="00774B61" w:rsidRDefault="00C76726">
      <w:pPr>
        <w:pStyle w:val="Default"/>
        <w:spacing w:line="32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B945A9">
        <w:rPr>
          <w:rFonts w:ascii="仿宋_GB2312" w:eastAsia="仿宋_GB2312" w:hAnsi="仿宋_GB2312" w:cs="仿宋_GB2312"/>
          <w:sz w:val="32"/>
          <w:szCs w:val="32"/>
        </w:rPr>
        <w:t>8</w:t>
      </w:r>
      <w:r>
        <w:rPr>
          <w:rFonts w:ascii="仿宋_GB2312" w:eastAsia="仿宋_GB2312" w:hAnsi="仿宋_GB2312" w:cs="仿宋_GB2312" w:hint="eastAsia"/>
          <w:sz w:val="32"/>
          <w:szCs w:val="32"/>
        </w:rPr>
        <w:t>.农林水支出</w:t>
      </w:r>
      <w:r>
        <w:rPr>
          <w:rStyle w:val="a8"/>
          <w:rFonts w:ascii="仿宋_GB2312" w:eastAsia="仿宋_GB2312" w:hAnsi="仿宋_GB2312" w:cs="仿宋_GB2312" w:hint="eastAsia"/>
          <w:b w:val="0"/>
          <w:sz w:val="32"/>
          <w:szCs w:val="32"/>
        </w:rPr>
        <w:t>（类）农业农村（款） 其他农业农村支出（项）：指反映除上述项目以外的其他用于农业农村支出。</w:t>
      </w:r>
    </w:p>
    <w:p w:rsidR="00774B61" w:rsidRDefault="00C767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B945A9">
        <w:rPr>
          <w:rFonts w:ascii="仿宋_GB2312" w:eastAsia="仿宋_GB2312" w:hAnsi="仿宋_GB2312" w:cs="仿宋_GB2312"/>
          <w:sz w:val="32"/>
          <w:szCs w:val="32"/>
        </w:rPr>
        <w:t>9</w:t>
      </w:r>
      <w:r>
        <w:rPr>
          <w:rFonts w:ascii="仿宋_GB2312" w:eastAsia="仿宋_GB2312" w:hAnsi="仿宋_GB2312" w:cs="仿宋_GB2312" w:hint="eastAsia"/>
          <w:sz w:val="32"/>
          <w:szCs w:val="32"/>
        </w:rPr>
        <w:t>.基本支出：指为保障机构正常运转、完成日常工作任务而发生的人员支出和公用支出。</w:t>
      </w:r>
    </w:p>
    <w:p w:rsidR="00774B61" w:rsidRDefault="00B945A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w:t>
      </w:r>
      <w:r w:rsidR="00C76726">
        <w:rPr>
          <w:rFonts w:ascii="仿宋_GB2312" w:eastAsia="仿宋_GB2312" w:hAnsi="仿宋_GB2312" w:cs="仿宋_GB2312" w:hint="eastAsia"/>
          <w:sz w:val="32"/>
          <w:szCs w:val="32"/>
        </w:rPr>
        <w:t xml:space="preserve">.项目支出：指在基本支出之外为完成特定行政任务和事业发展目标所发生的支出。 </w:t>
      </w:r>
    </w:p>
    <w:p w:rsidR="00774B61" w:rsidRDefault="00C76726">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w:t>
      </w:r>
      <w:r w:rsidR="00B945A9">
        <w:rPr>
          <w:rFonts w:ascii="仿宋_GB2312" w:eastAsia="仿宋_GB2312" w:hAnsi="仿宋_GB2312" w:cs="仿宋_GB2312"/>
          <w:color w:val="auto"/>
          <w:sz w:val="32"/>
          <w:szCs w:val="32"/>
        </w:rPr>
        <w:t>1</w:t>
      </w:r>
      <w:r>
        <w:rPr>
          <w:rFonts w:ascii="仿宋_GB2312" w:eastAsia="仿宋_GB2312" w:hAnsi="仿宋_GB2312" w:cs="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74B61" w:rsidRDefault="00C767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B945A9">
        <w:rPr>
          <w:rFonts w:ascii="仿宋_GB2312" w:eastAsia="仿宋_GB2312" w:hAnsi="仿宋_GB2312" w:cs="仿宋_GB2312"/>
          <w:sz w:val="32"/>
          <w:szCs w:val="32"/>
        </w:rPr>
        <w:t>2</w:t>
      </w:r>
      <w:r>
        <w:rPr>
          <w:rFonts w:ascii="仿宋_GB2312" w:eastAsia="仿宋_GB2312" w:hAnsi="仿宋_GB2312" w:cs="仿宋_GB2312" w:hint="eastAsia"/>
          <w:sz w:val="32"/>
          <w:szCs w:val="32"/>
        </w:rPr>
        <w:t>.经营支出：指事业单位在专业业务活动及其辅助活动之外开展非独立核算经营活动发生的支出。</w:t>
      </w:r>
    </w:p>
    <w:p w:rsidR="00774B61" w:rsidRDefault="00774B61">
      <w:pPr>
        <w:pStyle w:val="Default"/>
        <w:spacing w:line="560" w:lineRule="exact"/>
        <w:ind w:firstLineChars="200" w:firstLine="640"/>
        <w:rPr>
          <w:rFonts w:ascii="仿宋_GB2312" w:eastAsia="仿宋_GB2312"/>
          <w:color w:val="auto"/>
          <w:sz w:val="32"/>
          <w:szCs w:val="32"/>
        </w:rPr>
      </w:pPr>
    </w:p>
    <w:p w:rsidR="00774B61" w:rsidRDefault="00C76726">
      <w:pPr>
        <w:spacing w:line="600" w:lineRule="exact"/>
        <w:jc w:val="center"/>
        <w:outlineLvl w:val="0"/>
        <w:rPr>
          <w:rStyle w:val="1Char"/>
          <w:rFonts w:ascii="黑体" w:eastAsia="黑体" w:hAnsi="黑体"/>
          <w:b w:val="0"/>
        </w:rPr>
      </w:pPr>
      <w:bookmarkStart w:id="83" w:name="_Toc15377226"/>
      <w:r>
        <w:rPr>
          <w:rFonts w:ascii="宋体"/>
          <w:b/>
          <w:sz w:val="44"/>
          <w:szCs w:val="44"/>
        </w:rPr>
        <w:br w:type="page"/>
      </w:r>
      <w:bookmarkStart w:id="84" w:name="_Toc15396614"/>
      <w:bookmarkStart w:id="85" w:name="_Toc5822"/>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84"/>
      <w:bookmarkEnd w:id="85"/>
    </w:p>
    <w:p w:rsidR="00774B61" w:rsidRDefault="00774B61">
      <w:pPr>
        <w:spacing w:line="572" w:lineRule="exact"/>
        <w:jc w:val="left"/>
        <w:rPr>
          <w:rFonts w:ascii="仿宋_GB2312" w:eastAsia="仿宋_GB2312" w:hAnsi="仿宋_GB2312" w:cs="仿宋_GB2312"/>
          <w:sz w:val="32"/>
          <w:szCs w:val="32"/>
        </w:rPr>
      </w:pPr>
    </w:p>
    <w:p w:rsidR="00774B61" w:rsidRDefault="00C76726">
      <w:pPr>
        <w:spacing w:line="600" w:lineRule="exact"/>
        <w:ind w:firstLineChars="200" w:firstLine="640"/>
        <w:outlineLvl w:val="1"/>
        <w:rPr>
          <w:rFonts w:ascii="仿宋_GB2312" w:eastAsia="仿宋_GB2312" w:hAnsi="仿宋_GB2312" w:cs="仿宋_GB2312"/>
          <w:color w:val="FF0000"/>
          <w:sz w:val="32"/>
          <w:szCs w:val="32"/>
        </w:rPr>
      </w:pPr>
      <w:bookmarkStart w:id="86" w:name="_Toc16501"/>
      <w:bookmarkStart w:id="87" w:name="_Toc15396618"/>
      <w:r>
        <w:rPr>
          <w:rFonts w:ascii="仿宋_GB2312" w:eastAsia="仿宋_GB2312" w:hAnsi="仿宋_GB2312" w:cs="仿宋_GB2312" w:hint="eastAsia"/>
          <w:sz w:val="32"/>
          <w:szCs w:val="32"/>
        </w:rPr>
        <w:t>部门预算项目支出绩效自评表（2023年度）</w:t>
      </w:r>
      <w:bookmarkEnd w:id="86"/>
    </w:p>
    <w:p w:rsidR="00774B61" w:rsidRDefault="00C76726">
      <w:pPr>
        <w:pStyle w:val="21"/>
        <w:spacing w:line="560" w:lineRule="exact"/>
        <w:ind w:leftChars="0" w:left="0" w:firstLine="640"/>
        <w:rPr>
          <w:rFonts w:eastAsia="仿宋_GB2312" w:hAnsi="仿宋_GB2312" w:cs="仿宋_GB2312"/>
          <w:sz w:val="32"/>
        </w:rPr>
      </w:pPr>
      <w:r>
        <w:rPr>
          <w:rFonts w:eastAsia="仿宋_GB2312" w:hAnsi="仿宋_GB2312" w:cs="仿宋_GB2312" w:hint="eastAsia"/>
          <w:sz w:val="32"/>
        </w:rPr>
        <w:t>见附件</w:t>
      </w: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pStyle w:val="a3"/>
        <w:spacing w:before="93"/>
        <w:rPr>
          <w:rFonts w:hAnsi="Calibri" w:cs="仿宋"/>
          <w:sz w:val="32"/>
          <w:szCs w:val="32"/>
        </w:rPr>
      </w:pPr>
    </w:p>
    <w:p w:rsidR="00774B61" w:rsidRDefault="00774B61">
      <w:pPr>
        <w:spacing w:line="600" w:lineRule="exact"/>
        <w:jc w:val="center"/>
        <w:rPr>
          <w:rFonts w:ascii="黑体" w:eastAsia="黑体" w:hAnsi="黑体"/>
          <w:sz w:val="44"/>
          <w:szCs w:val="44"/>
        </w:rPr>
      </w:pPr>
    </w:p>
    <w:p w:rsidR="00774B61" w:rsidRDefault="00774B61" w:rsidP="00327102">
      <w:pPr>
        <w:spacing w:line="600" w:lineRule="exact"/>
        <w:rPr>
          <w:rFonts w:ascii="黑体" w:eastAsia="黑体" w:hAnsi="黑体"/>
          <w:sz w:val="44"/>
          <w:szCs w:val="44"/>
        </w:rPr>
      </w:pPr>
    </w:p>
    <w:p w:rsidR="00774B61" w:rsidRDefault="00774B61">
      <w:pPr>
        <w:spacing w:line="600" w:lineRule="exact"/>
        <w:jc w:val="center"/>
        <w:rPr>
          <w:rFonts w:ascii="黑体" w:eastAsia="黑体" w:hAnsi="黑体"/>
          <w:sz w:val="44"/>
          <w:szCs w:val="44"/>
        </w:rPr>
      </w:pPr>
    </w:p>
    <w:p w:rsidR="00774B61" w:rsidRDefault="00C76726">
      <w:pPr>
        <w:spacing w:line="600" w:lineRule="exact"/>
        <w:jc w:val="center"/>
        <w:outlineLvl w:val="0"/>
        <w:rPr>
          <w:rFonts w:ascii="仿宋" w:eastAsia="仿宋" w:hAnsi="仿宋"/>
        </w:rPr>
      </w:pPr>
      <w:bookmarkStart w:id="88" w:name="_Toc6556"/>
      <w:r>
        <w:rPr>
          <w:rFonts w:ascii="黑体" w:eastAsia="黑体" w:hAnsi="黑体" w:hint="eastAsia"/>
          <w:sz w:val="44"/>
          <w:szCs w:val="44"/>
        </w:rPr>
        <w:t>第</w:t>
      </w:r>
      <w:r>
        <w:rPr>
          <w:rStyle w:val="1Char"/>
          <w:rFonts w:ascii="黑体" w:eastAsia="黑体" w:hAnsi="黑体" w:hint="eastAsia"/>
          <w:b w:val="0"/>
        </w:rPr>
        <w:t>五部分 附表</w:t>
      </w:r>
      <w:bookmarkStart w:id="89" w:name="_Toc15396619"/>
      <w:bookmarkEnd w:id="83"/>
      <w:bookmarkEnd w:id="87"/>
      <w:bookmarkEnd w:id="88"/>
    </w:p>
    <w:p w:rsidR="00774B61" w:rsidRDefault="00C76726">
      <w:pPr>
        <w:pStyle w:val="2"/>
        <w:rPr>
          <w:rFonts w:ascii="仿宋_GB2312" w:eastAsia="仿宋_GB2312" w:hAnsi="仿宋_GB2312" w:cs="仿宋_GB2312"/>
          <w:b w:val="0"/>
        </w:rPr>
      </w:pPr>
      <w:bookmarkStart w:id="90" w:name="_Toc19830"/>
      <w:r>
        <w:rPr>
          <w:rFonts w:ascii="仿宋_GB2312" w:eastAsia="仿宋_GB2312" w:hAnsi="仿宋_GB2312" w:cs="仿宋_GB2312" w:hint="eastAsia"/>
          <w:b w:val="0"/>
        </w:rPr>
        <w:t>一、收</w:t>
      </w:r>
      <w:r>
        <w:rPr>
          <w:rStyle w:val="22"/>
          <w:rFonts w:ascii="仿宋_GB2312" w:eastAsia="仿宋_GB2312" w:hAnsi="仿宋_GB2312" w:cs="仿宋_GB2312" w:hint="eastAsia"/>
          <w:bCs/>
        </w:rPr>
        <w:t>入支出决算总表</w:t>
      </w:r>
      <w:bookmarkEnd w:id="89"/>
      <w:bookmarkEnd w:id="90"/>
    </w:p>
    <w:p w:rsidR="00774B61" w:rsidRDefault="00C76726">
      <w:pPr>
        <w:pStyle w:val="2"/>
        <w:rPr>
          <w:rFonts w:ascii="仿宋_GB2312" w:eastAsia="仿宋_GB2312" w:hAnsi="仿宋_GB2312" w:cs="仿宋_GB2312"/>
          <w:b w:val="0"/>
        </w:rPr>
      </w:pPr>
      <w:bookmarkStart w:id="91" w:name="_Toc15396620"/>
      <w:bookmarkStart w:id="92" w:name="_Toc28007"/>
      <w:r>
        <w:rPr>
          <w:rFonts w:ascii="仿宋_GB2312" w:eastAsia="仿宋_GB2312" w:hAnsi="仿宋_GB2312" w:cs="仿宋_GB2312" w:hint="eastAsia"/>
          <w:b w:val="0"/>
        </w:rPr>
        <w:t>二、收</w:t>
      </w:r>
      <w:r>
        <w:rPr>
          <w:rStyle w:val="22"/>
          <w:rFonts w:ascii="仿宋_GB2312" w:eastAsia="仿宋_GB2312" w:hAnsi="仿宋_GB2312" w:cs="仿宋_GB2312" w:hint="eastAsia"/>
          <w:bCs/>
        </w:rPr>
        <w:t>入决算表</w:t>
      </w:r>
      <w:bookmarkEnd w:id="91"/>
      <w:bookmarkEnd w:id="92"/>
    </w:p>
    <w:p w:rsidR="00774B61" w:rsidRDefault="00C76726">
      <w:pPr>
        <w:pStyle w:val="2"/>
        <w:rPr>
          <w:rFonts w:ascii="仿宋_GB2312" w:eastAsia="仿宋_GB2312" w:hAnsi="仿宋_GB2312" w:cs="仿宋_GB2312"/>
          <w:b w:val="0"/>
        </w:rPr>
      </w:pPr>
      <w:bookmarkStart w:id="93" w:name="_Toc15396621"/>
      <w:bookmarkStart w:id="94" w:name="_Toc11969"/>
      <w:r>
        <w:rPr>
          <w:rStyle w:val="22"/>
          <w:rFonts w:ascii="仿宋_GB2312" w:eastAsia="仿宋_GB2312" w:hAnsi="仿宋_GB2312" w:cs="仿宋_GB2312" w:hint="eastAsia"/>
          <w:bCs/>
        </w:rPr>
        <w:t>三、</w:t>
      </w:r>
      <w:r>
        <w:rPr>
          <w:rFonts w:ascii="仿宋_GB2312" w:eastAsia="仿宋_GB2312" w:hAnsi="仿宋_GB2312" w:cs="仿宋_GB2312" w:hint="eastAsia"/>
          <w:b w:val="0"/>
        </w:rPr>
        <w:t>支</w:t>
      </w:r>
      <w:r>
        <w:rPr>
          <w:rStyle w:val="22"/>
          <w:rFonts w:ascii="仿宋_GB2312" w:eastAsia="仿宋_GB2312" w:hAnsi="仿宋_GB2312" w:cs="仿宋_GB2312" w:hint="eastAsia"/>
          <w:bCs/>
        </w:rPr>
        <w:t>出决算表</w:t>
      </w:r>
      <w:bookmarkEnd w:id="93"/>
      <w:bookmarkEnd w:id="94"/>
    </w:p>
    <w:p w:rsidR="00774B61" w:rsidRDefault="00C76726">
      <w:pPr>
        <w:pStyle w:val="2"/>
        <w:rPr>
          <w:rFonts w:ascii="仿宋_GB2312" w:eastAsia="仿宋_GB2312" w:hAnsi="仿宋_GB2312" w:cs="仿宋_GB2312"/>
          <w:b w:val="0"/>
        </w:rPr>
      </w:pPr>
      <w:bookmarkStart w:id="95" w:name="_Toc15396622"/>
      <w:bookmarkStart w:id="96" w:name="_Toc19487"/>
      <w:r>
        <w:rPr>
          <w:rStyle w:val="22"/>
          <w:rFonts w:ascii="仿宋_GB2312" w:eastAsia="仿宋_GB2312" w:hAnsi="仿宋_GB2312" w:cs="仿宋_GB2312" w:hint="eastAsia"/>
          <w:bCs/>
        </w:rPr>
        <w:t>四、</w:t>
      </w:r>
      <w:r>
        <w:rPr>
          <w:rFonts w:ascii="仿宋_GB2312" w:eastAsia="仿宋_GB2312" w:hAnsi="仿宋_GB2312" w:cs="仿宋_GB2312" w:hint="eastAsia"/>
          <w:b w:val="0"/>
        </w:rPr>
        <w:t>财</w:t>
      </w:r>
      <w:r>
        <w:rPr>
          <w:rStyle w:val="22"/>
          <w:rFonts w:ascii="仿宋_GB2312" w:eastAsia="仿宋_GB2312" w:hAnsi="仿宋_GB2312" w:cs="仿宋_GB2312" w:hint="eastAsia"/>
          <w:bCs/>
        </w:rPr>
        <w:t>政拨款收入支出决算总表</w:t>
      </w:r>
      <w:bookmarkEnd w:id="95"/>
      <w:bookmarkEnd w:id="96"/>
    </w:p>
    <w:p w:rsidR="00774B61" w:rsidRDefault="00C76726">
      <w:pPr>
        <w:pStyle w:val="2"/>
        <w:rPr>
          <w:rStyle w:val="22"/>
          <w:rFonts w:ascii="仿宋_GB2312" w:eastAsia="仿宋_GB2312" w:hAnsi="仿宋_GB2312" w:cs="仿宋_GB2312"/>
          <w:bCs/>
        </w:rPr>
      </w:pPr>
      <w:bookmarkStart w:id="97" w:name="_Toc15396623"/>
      <w:bookmarkStart w:id="98" w:name="_Toc16628"/>
      <w:r>
        <w:rPr>
          <w:rStyle w:val="22"/>
          <w:rFonts w:ascii="仿宋_GB2312" w:eastAsia="仿宋_GB2312" w:hAnsi="仿宋_GB2312" w:cs="仿宋_GB2312" w:hint="eastAsia"/>
          <w:bCs/>
        </w:rPr>
        <w:t>五、</w:t>
      </w:r>
      <w:r>
        <w:rPr>
          <w:rFonts w:ascii="仿宋_GB2312" w:eastAsia="仿宋_GB2312" w:hAnsi="仿宋_GB2312" w:cs="仿宋_GB2312" w:hint="eastAsia"/>
          <w:b w:val="0"/>
        </w:rPr>
        <w:t>财</w:t>
      </w:r>
      <w:r>
        <w:rPr>
          <w:rStyle w:val="22"/>
          <w:rFonts w:ascii="仿宋_GB2312" w:eastAsia="仿宋_GB2312" w:hAnsi="仿宋_GB2312" w:cs="仿宋_GB2312" w:hint="eastAsia"/>
          <w:bCs/>
        </w:rPr>
        <w:t>政拨款支出决算明细表</w:t>
      </w:r>
      <w:bookmarkStart w:id="99" w:name="_Toc15396624"/>
      <w:bookmarkEnd w:id="97"/>
      <w:bookmarkEnd w:id="98"/>
    </w:p>
    <w:p w:rsidR="00774B61" w:rsidRDefault="00C76726">
      <w:pPr>
        <w:pStyle w:val="2"/>
        <w:rPr>
          <w:rFonts w:ascii="仿宋_GB2312" w:eastAsia="仿宋_GB2312" w:hAnsi="仿宋_GB2312" w:cs="仿宋_GB2312"/>
          <w:b w:val="0"/>
        </w:rPr>
      </w:pPr>
      <w:bookmarkStart w:id="100" w:name="_Toc26644"/>
      <w:r>
        <w:rPr>
          <w:rStyle w:val="22"/>
          <w:rFonts w:ascii="仿宋_GB2312" w:eastAsia="仿宋_GB2312" w:hAnsi="仿宋_GB2312" w:cs="仿宋_GB2312" w:hint="eastAsia"/>
          <w:bCs/>
        </w:rPr>
        <w:t>六、</w:t>
      </w:r>
      <w:r>
        <w:rPr>
          <w:rFonts w:ascii="仿宋_GB2312" w:eastAsia="仿宋_GB2312" w:hAnsi="仿宋_GB2312" w:cs="仿宋_GB2312" w:hint="eastAsia"/>
          <w:b w:val="0"/>
        </w:rPr>
        <w:t>一</w:t>
      </w:r>
      <w:r>
        <w:rPr>
          <w:rStyle w:val="22"/>
          <w:rFonts w:ascii="仿宋_GB2312" w:eastAsia="仿宋_GB2312" w:hAnsi="仿宋_GB2312" w:cs="仿宋_GB2312" w:hint="eastAsia"/>
          <w:bCs/>
        </w:rPr>
        <w:t>般公共预算财政拨款支出决算表</w:t>
      </w:r>
      <w:bookmarkEnd w:id="99"/>
      <w:bookmarkEnd w:id="100"/>
    </w:p>
    <w:p w:rsidR="00774B61" w:rsidRDefault="00C76726">
      <w:pPr>
        <w:pStyle w:val="2"/>
        <w:rPr>
          <w:rFonts w:ascii="仿宋_GB2312" w:eastAsia="仿宋_GB2312" w:hAnsi="仿宋_GB2312" w:cs="仿宋_GB2312"/>
          <w:b w:val="0"/>
        </w:rPr>
      </w:pPr>
      <w:bookmarkStart w:id="101" w:name="_Toc15396625"/>
      <w:bookmarkStart w:id="102" w:name="_Toc23689"/>
      <w:r>
        <w:rPr>
          <w:rStyle w:val="22"/>
          <w:rFonts w:ascii="仿宋_GB2312" w:eastAsia="仿宋_GB2312" w:hAnsi="仿宋_GB2312" w:cs="仿宋_GB2312" w:hint="eastAsia"/>
          <w:bCs/>
        </w:rPr>
        <w:t>七、</w:t>
      </w:r>
      <w:r>
        <w:rPr>
          <w:rFonts w:ascii="仿宋_GB2312" w:eastAsia="仿宋_GB2312" w:hAnsi="仿宋_GB2312" w:cs="仿宋_GB2312" w:hint="eastAsia"/>
          <w:b w:val="0"/>
        </w:rPr>
        <w:t>一</w:t>
      </w:r>
      <w:r>
        <w:rPr>
          <w:rStyle w:val="22"/>
          <w:rFonts w:ascii="仿宋_GB2312" w:eastAsia="仿宋_GB2312" w:hAnsi="仿宋_GB2312" w:cs="仿宋_GB2312" w:hint="eastAsia"/>
          <w:bCs/>
        </w:rPr>
        <w:t>般公共预算财政拨款支出决算明细表</w:t>
      </w:r>
      <w:bookmarkEnd w:id="101"/>
      <w:bookmarkEnd w:id="102"/>
    </w:p>
    <w:p w:rsidR="00774B61" w:rsidRDefault="00C76726">
      <w:pPr>
        <w:pStyle w:val="2"/>
        <w:rPr>
          <w:rFonts w:ascii="仿宋_GB2312" w:eastAsia="仿宋_GB2312" w:hAnsi="仿宋_GB2312" w:cs="仿宋_GB2312"/>
          <w:b w:val="0"/>
        </w:rPr>
      </w:pPr>
      <w:bookmarkStart w:id="103" w:name="_Toc15396626"/>
      <w:bookmarkStart w:id="104" w:name="_Toc4513"/>
      <w:r>
        <w:rPr>
          <w:rStyle w:val="22"/>
          <w:rFonts w:ascii="仿宋_GB2312" w:eastAsia="仿宋_GB2312" w:hAnsi="仿宋_GB2312" w:cs="仿宋_GB2312" w:hint="eastAsia"/>
          <w:bCs/>
        </w:rPr>
        <w:t>八、</w:t>
      </w:r>
      <w:r>
        <w:rPr>
          <w:rFonts w:ascii="仿宋_GB2312" w:eastAsia="仿宋_GB2312" w:hAnsi="仿宋_GB2312" w:cs="仿宋_GB2312" w:hint="eastAsia"/>
          <w:b w:val="0"/>
        </w:rPr>
        <w:t>一</w:t>
      </w:r>
      <w:r>
        <w:rPr>
          <w:rStyle w:val="22"/>
          <w:rFonts w:ascii="仿宋_GB2312" w:eastAsia="仿宋_GB2312" w:hAnsi="仿宋_GB2312" w:cs="仿宋_GB2312" w:hint="eastAsia"/>
          <w:bCs/>
        </w:rPr>
        <w:t>般公共预算财政拨款基本支出决算表</w:t>
      </w:r>
      <w:bookmarkEnd w:id="103"/>
      <w:bookmarkEnd w:id="104"/>
    </w:p>
    <w:p w:rsidR="00774B61" w:rsidRDefault="00C76726">
      <w:pPr>
        <w:pStyle w:val="2"/>
        <w:rPr>
          <w:rFonts w:ascii="仿宋_GB2312" w:eastAsia="仿宋_GB2312" w:hAnsi="仿宋_GB2312" w:cs="仿宋_GB2312"/>
          <w:b w:val="0"/>
        </w:rPr>
      </w:pPr>
      <w:bookmarkStart w:id="105" w:name="_Toc15396627"/>
      <w:bookmarkStart w:id="106" w:name="_Toc2853"/>
      <w:r>
        <w:rPr>
          <w:rStyle w:val="22"/>
          <w:rFonts w:ascii="仿宋_GB2312" w:eastAsia="仿宋_GB2312" w:hAnsi="仿宋_GB2312" w:cs="仿宋_GB2312" w:hint="eastAsia"/>
          <w:bCs/>
        </w:rPr>
        <w:t>九、</w:t>
      </w:r>
      <w:r>
        <w:rPr>
          <w:rFonts w:ascii="仿宋_GB2312" w:eastAsia="仿宋_GB2312" w:hAnsi="仿宋_GB2312" w:cs="仿宋_GB2312" w:hint="eastAsia"/>
          <w:b w:val="0"/>
        </w:rPr>
        <w:t>一</w:t>
      </w:r>
      <w:r>
        <w:rPr>
          <w:rStyle w:val="22"/>
          <w:rFonts w:ascii="仿宋_GB2312" w:eastAsia="仿宋_GB2312" w:hAnsi="仿宋_GB2312" w:cs="仿宋_GB2312" w:hint="eastAsia"/>
          <w:bCs/>
        </w:rPr>
        <w:t>般公共预算财政拨款项目支出决算表</w:t>
      </w:r>
      <w:bookmarkEnd w:id="105"/>
      <w:bookmarkEnd w:id="106"/>
    </w:p>
    <w:p w:rsidR="00774B61" w:rsidRDefault="00C76726">
      <w:pPr>
        <w:pStyle w:val="2"/>
        <w:rPr>
          <w:rFonts w:ascii="仿宋_GB2312" w:eastAsia="仿宋_GB2312" w:hAnsi="仿宋_GB2312" w:cs="仿宋_GB2312"/>
          <w:b w:val="0"/>
        </w:rPr>
      </w:pPr>
      <w:bookmarkStart w:id="107" w:name="_Toc15396628"/>
      <w:bookmarkStart w:id="108" w:name="_Toc9121"/>
      <w:r>
        <w:rPr>
          <w:rStyle w:val="22"/>
          <w:rFonts w:ascii="仿宋_GB2312" w:eastAsia="仿宋_GB2312" w:hAnsi="仿宋_GB2312" w:cs="仿宋_GB2312" w:hint="eastAsia"/>
          <w:bCs/>
        </w:rPr>
        <w:t>十、</w:t>
      </w:r>
      <w:bookmarkEnd w:id="107"/>
      <w:r>
        <w:rPr>
          <w:rFonts w:ascii="仿宋_GB2312" w:eastAsia="仿宋_GB2312" w:hAnsi="仿宋_GB2312" w:cs="仿宋_GB2312" w:hint="eastAsia"/>
          <w:b w:val="0"/>
        </w:rPr>
        <w:t>政</w:t>
      </w:r>
      <w:r>
        <w:rPr>
          <w:rStyle w:val="22"/>
          <w:rFonts w:ascii="仿宋_GB2312" w:eastAsia="仿宋_GB2312" w:hAnsi="仿宋_GB2312" w:cs="仿宋_GB2312" w:hint="eastAsia"/>
          <w:bCs/>
        </w:rPr>
        <w:t>府性基金预算财政拨款收入支出决算表</w:t>
      </w:r>
      <w:bookmarkEnd w:id="108"/>
      <w:r w:rsidR="00327102" w:rsidRPr="00327102">
        <w:rPr>
          <w:rStyle w:val="2Char"/>
          <w:rFonts w:ascii="仿宋" w:eastAsia="仿宋" w:hAnsi="仿宋" w:hint="eastAsia"/>
        </w:rPr>
        <w:t>(</w:t>
      </w:r>
      <w:r w:rsidR="00AB721E">
        <w:rPr>
          <w:rStyle w:val="2Char"/>
          <w:rFonts w:ascii="仿宋" w:eastAsia="仿宋" w:hAnsi="仿宋" w:hint="eastAsia"/>
        </w:rPr>
        <w:t>本</w:t>
      </w:r>
      <w:r w:rsidR="00327102" w:rsidRPr="00327102">
        <w:rPr>
          <w:rStyle w:val="2Char"/>
          <w:rFonts w:ascii="仿宋" w:eastAsia="仿宋" w:hAnsi="仿宋" w:hint="eastAsia"/>
        </w:rPr>
        <w:t>表无数据)</w:t>
      </w:r>
    </w:p>
    <w:p w:rsidR="00774B61" w:rsidRDefault="00C76726">
      <w:pPr>
        <w:pStyle w:val="2"/>
        <w:rPr>
          <w:rFonts w:ascii="仿宋_GB2312" w:eastAsia="仿宋_GB2312" w:hAnsi="仿宋_GB2312" w:cs="仿宋_GB2312"/>
          <w:b w:val="0"/>
        </w:rPr>
      </w:pPr>
      <w:bookmarkStart w:id="109" w:name="_Toc15396629"/>
      <w:bookmarkStart w:id="110" w:name="_Toc7365"/>
      <w:r>
        <w:rPr>
          <w:rStyle w:val="22"/>
          <w:rFonts w:ascii="仿宋_GB2312" w:eastAsia="仿宋_GB2312" w:hAnsi="仿宋_GB2312" w:cs="仿宋_GB2312" w:hint="eastAsia"/>
          <w:bCs/>
        </w:rPr>
        <w:t>十一、</w:t>
      </w:r>
      <w:bookmarkEnd w:id="109"/>
      <w:r>
        <w:rPr>
          <w:rFonts w:ascii="仿宋_GB2312" w:eastAsia="仿宋_GB2312" w:hAnsi="仿宋_GB2312" w:cs="仿宋_GB2312" w:hint="eastAsia"/>
          <w:b w:val="0"/>
        </w:rPr>
        <w:t>国</w:t>
      </w:r>
      <w:r>
        <w:rPr>
          <w:rStyle w:val="22"/>
          <w:rFonts w:ascii="仿宋_GB2312" w:eastAsia="仿宋_GB2312" w:hAnsi="仿宋_GB2312" w:cs="仿宋_GB2312" w:hint="eastAsia"/>
          <w:bCs/>
        </w:rPr>
        <w:t>有资本经营预算财政拨款收入支出决算表</w:t>
      </w:r>
      <w:bookmarkEnd w:id="110"/>
      <w:r w:rsidR="00327102" w:rsidRPr="00327102">
        <w:rPr>
          <w:rStyle w:val="2Char"/>
          <w:rFonts w:ascii="仿宋" w:eastAsia="仿宋" w:hAnsi="仿宋" w:hint="eastAsia"/>
        </w:rPr>
        <w:t>(</w:t>
      </w:r>
      <w:r w:rsidR="00AB721E">
        <w:rPr>
          <w:rStyle w:val="2Char"/>
          <w:rFonts w:ascii="仿宋" w:eastAsia="仿宋" w:hAnsi="仿宋" w:hint="eastAsia"/>
        </w:rPr>
        <w:t>本</w:t>
      </w:r>
      <w:r w:rsidR="00327102" w:rsidRPr="00327102">
        <w:rPr>
          <w:rStyle w:val="2Char"/>
          <w:rFonts w:ascii="仿宋" w:eastAsia="仿宋" w:hAnsi="仿宋" w:hint="eastAsia"/>
        </w:rPr>
        <w:t>表无数据)</w:t>
      </w:r>
    </w:p>
    <w:p w:rsidR="00774B61" w:rsidRDefault="00C76726">
      <w:pPr>
        <w:pStyle w:val="2"/>
        <w:rPr>
          <w:rFonts w:ascii="仿宋_GB2312" w:eastAsia="仿宋_GB2312" w:hAnsi="仿宋_GB2312" w:cs="仿宋_GB2312"/>
          <w:b w:val="0"/>
        </w:rPr>
      </w:pPr>
      <w:bookmarkStart w:id="111" w:name="_Toc15396630"/>
      <w:bookmarkStart w:id="112" w:name="_Toc13447"/>
      <w:r>
        <w:rPr>
          <w:rStyle w:val="22"/>
          <w:rFonts w:ascii="仿宋_GB2312" w:eastAsia="仿宋_GB2312" w:hAnsi="仿宋_GB2312" w:cs="仿宋_GB2312" w:hint="eastAsia"/>
          <w:bCs/>
        </w:rPr>
        <w:t>十二、</w:t>
      </w:r>
      <w:bookmarkEnd w:id="111"/>
      <w:r>
        <w:rPr>
          <w:rStyle w:val="22"/>
          <w:rFonts w:ascii="仿宋_GB2312" w:eastAsia="仿宋_GB2312" w:hAnsi="仿宋_GB2312" w:cs="仿宋_GB2312" w:hint="eastAsia"/>
          <w:bCs/>
        </w:rPr>
        <w:t>国有资本经营预算财政拨款支出决算表</w:t>
      </w:r>
      <w:bookmarkEnd w:id="112"/>
      <w:r w:rsidR="00327102" w:rsidRPr="00327102">
        <w:rPr>
          <w:rStyle w:val="2Char"/>
          <w:rFonts w:ascii="仿宋" w:eastAsia="仿宋" w:hAnsi="仿宋" w:hint="eastAsia"/>
        </w:rPr>
        <w:t>(</w:t>
      </w:r>
      <w:r w:rsidR="00AB721E">
        <w:rPr>
          <w:rStyle w:val="2Char"/>
          <w:rFonts w:ascii="仿宋" w:eastAsia="仿宋" w:hAnsi="仿宋" w:hint="eastAsia"/>
        </w:rPr>
        <w:t>本</w:t>
      </w:r>
      <w:r w:rsidR="00327102" w:rsidRPr="00327102">
        <w:rPr>
          <w:rStyle w:val="2Char"/>
          <w:rFonts w:ascii="仿宋" w:eastAsia="仿宋" w:hAnsi="仿宋" w:hint="eastAsia"/>
        </w:rPr>
        <w:t>表无数据)</w:t>
      </w:r>
    </w:p>
    <w:p w:rsidR="00774B61" w:rsidRDefault="00C76726">
      <w:pPr>
        <w:pStyle w:val="2"/>
        <w:rPr>
          <w:rFonts w:ascii="仿宋_GB2312" w:eastAsia="仿宋_GB2312" w:hAnsi="仿宋_GB2312" w:cs="仿宋_GB2312"/>
          <w:b w:val="0"/>
        </w:rPr>
      </w:pPr>
      <w:bookmarkStart w:id="113" w:name="_Toc15396631"/>
      <w:bookmarkStart w:id="114" w:name="_Toc17126"/>
      <w:r>
        <w:rPr>
          <w:rStyle w:val="22"/>
          <w:rFonts w:ascii="仿宋_GB2312" w:eastAsia="仿宋_GB2312" w:hAnsi="仿宋_GB2312" w:cs="仿宋_GB2312" w:hint="eastAsia"/>
          <w:bCs/>
        </w:rPr>
        <w:t>十三、</w:t>
      </w:r>
      <w:bookmarkEnd w:id="113"/>
      <w:r>
        <w:rPr>
          <w:rStyle w:val="22"/>
          <w:rFonts w:ascii="仿宋_GB2312" w:eastAsia="仿宋_GB2312" w:hAnsi="仿宋_GB2312" w:cs="仿宋_GB2312" w:hint="eastAsia"/>
          <w:bCs/>
        </w:rPr>
        <w:t>财政拨款“三公”经费支出决算表</w:t>
      </w:r>
      <w:bookmarkEnd w:id="114"/>
    </w:p>
    <w:sectPr w:rsidR="00774B61" w:rsidSect="00557F80">
      <w:headerReference w:type="default" r:id="rId14"/>
      <w:footerReference w:type="default" r:id="rId15"/>
      <w:footerReference w:type="first" r:id="rId16"/>
      <w:pgSz w:w="11906" w:h="16838"/>
      <w:pgMar w:top="2098" w:right="1474" w:bottom="1985" w:left="1588"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9E" w:rsidRDefault="0000499E">
      <w:r>
        <w:separator/>
      </w:r>
    </w:p>
  </w:endnote>
  <w:endnote w:type="continuationSeparator" w:id="0">
    <w:p w:rsidR="0000499E" w:rsidRDefault="0000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774B61" w:rsidRDefault="00C76726">
        <w:pPr>
          <w:pStyle w:val="a6"/>
          <w:jc w:val="center"/>
        </w:pPr>
        <w:r>
          <w:fldChar w:fldCharType="begin"/>
        </w:r>
        <w:r>
          <w:instrText>PAGE   \* MERGEFORMAT</w:instrText>
        </w:r>
        <w:r>
          <w:fldChar w:fldCharType="separate"/>
        </w:r>
        <w:r w:rsidR="00135D24" w:rsidRPr="00135D24">
          <w:rPr>
            <w:noProof/>
            <w:lang w:val="zh-CN"/>
          </w:rPr>
          <w:t>2</w:t>
        </w:r>
        <w:r>
          <w:fldChar w:fldCharType="end"/>
        </w:r>
      </w:p>
    </w:sdtContent>
  </w:sdt>
  <w:p w:rsidR="00774B61" w:rsidRDefault="00774B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61" w:rsidRDefault="00C76726">
    <w:pPr>
      <w:pStyle w:val="a6"/>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9E" w:rsidRDefault="0000499E">
      <w:r>
        <w:separator/>
      </w:r>
    </w:p>
  </w:footnote>
  <w:footnote w:type="continuationSeparator" w:id="0">
    <w:p w:rsidR="0000499E" w:rsidRDefault="0000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61" w:rsidRDefault="00774B6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8754F6C"/>
    <w:multiLevelType w:val="multilevel"/>
    <w:tmpl w:val="58754F6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95C05FE"/>
    <w:multiLevelType w:val="singleLevel"/>
    <w:tmpl w:val="595C05FE"/>
    <w:lvl w:ilvl="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OTRmNDFkZmNhN2ZiMGI4ZjVkYThhMWFmOGZlZDY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0499E"/>
    <w:rsid w:val="000222C6"/>
    <w:rsid w:val="0002549F"/>
    <w:rsid w:val="00030123"/>
    <w:rsid w:val="000468DB"/>
    <w:rsid w:val="00055CD7"/>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72B"/>
    <w:rsid w:val="000D1D50"/>
    <w:rsid w:val="000D5782"/>
    <w:rsid w:val="000D630B"/>
    <w:rsid w:val="000E6613"/>
    <w:rsid w:val="000E7119"/>
    <w:rsid w:val="00114501"/>
    <w:rsid w:val="00114E9B"/>
    <w:rsid w:val="00135D24"/>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5C20"/>
    <w:rsid w:val="001F7506"/>
    <w:rsid w:val="002006CD"/>
    <w:rsid w:val="00202B36"/>
    <w:rsid w:val="00204B7A"/>
    <w:rsid w:val="00204CDE"/>
    <w:rsid w:val="00206907"/>
    <w:rsid w:val="0021101A"/>
    <w:rsid w:val="00212B4A"/>
    <w:rsid w:val="00214F03"/>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27102"/>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6E89"/>
    <w:rsid w:val="00406254"/>
    <w:rsid w:val="00410C65"/>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D4D86"/>
    <w:rsid w:val="004E0A2D"/>
    <w:rsid w:val="004E206B"/>
    <w:rsid w:val="004E6DF7"/>
    <w:rsid w:val="004F0FBD"/>
    <w:rsid w:val="00505A47"/>
    <w:rsid w:val="00512FDA"/>
    <w:rsid w:val="00520DA0"/>
    <w:rsid w:val="00530669"/>
    <w:rsid w:val="005533CF"/>
    <w:rsid w:val="00557F80"/>
    <w:rsid w:val="005664BB"/>
    <w:rsid w:val="00566FFA"/>
    <w:rsid w:val="0057481D"/>
    <w:rsid w:val="0058486E"/>
    <w:rsid w:val="00585B33"/>
    <w:rsid w:val="0059014D"/>
    <w:rsid w:val="005A25C2"/>
    <w:rsid w:val="005B2BB8"/>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179F"/>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4B61"/>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1118"/>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B721E"/>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945A9"/>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6726"/>
    <w:rsid w:val="00C7674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72C1"/>
    <w:rsid w:val="00FA23E8"/>
    <w:rsid w:val="00FD3CC1"/>
    <w:rsid w:val="00FF1E02"/>
    <w:rsid w:val="00FF30B4"/>
    <w:rsid w:val="03DC2831"/>
    <w:rsid w:val="055778F5"/>
    <w:rsid w:val="08144D54"/>
    <w:rsid w:val="081B5E94"/>
    <w:rsid w:val="08A23B6C"/>
    <w:rsid w:val="0A2032A3"/>
    <w:rsid w:val="0A6631B9"/>
    <w:rsid w:val="0B8A37D8"/>
    <w:rsid w:val="0D196656"/>
    <w:rsid w:val="0F5FFB2F"/>
    <w:rsid w:val="0FFFCF60"/>
    <w:rsid w:val="10C055FF"/>
    <w:rsid w:val="110814DB"/>
    <w:rsid w:val="11143E75"/>
    <w:rsid w:val="118107EC"/>
    <w:rsid w:val="11DD6519"/>
    <w:rsid w:val="12407B86"/>
    <w:rsid w:val="12545FF1"/>
    <w:rsid w:val="13D9398B"/>
    <w:rsid w:val="156E1C8F"/>
    <w:rsid w:val="16BB723D"/>
    <w:rsid w:val="18015F3F"/>
    <w:rsid w:val="1BE8440E"/>
    <w:rsid w:val="1D155CEE"/>
    <w:rsid w:val="1FDBBF84"/>
    <w:rsid w:val="20F57F95"/>
    <w:rsid w:val="240371BF"/>
    <w:rsid w:val="25711CC6"/>
    <w:rsid w:val="25C741E6"/>
    <w:rsid w:val="276F80C0"/>
    <w:rsid w:val="27842671"/>
    <w:rsid w:val="27E95E62"/>
    <w:rsid w:val="29FD04D3"/>
    <w:rsid w:val="2ABE7A3E"/>
    <w:rsid w:val="2AFF09B6"/>
    <w:rsid w:val="2C4C088A"/>
    <w:rsid w:val="2CA234A8"/>
    <w:rsid w:val="2EE95130"/>
    <w:rsid w:val="2EFA178C"/>
    <w:rsid w:val="2EFDF86C"/>
    <w:rsid w:val="2F9D17E1"/>
    <w:rsid w:val="30B46D73"/>
    <w:rsid w:val="319F7F4E"/>
    <w:rsid w:val="322738E7"/>
    <w:rsid w:val="32690A61"/>
    <w:rsid w:val="356A28F1"/>
    <w:rsid w:val="357C035A"/>
    <w:rsid w:val="368E000D"/>
    <w:rsid w:val="378B4B30"/>
    <w:rsid w:val="383D272C"/>
    <w:rsid w:val="39AE70AB"/>
    <w:rsid w:val="3A4DCE41"/>
    <w:rsid w:val="3A504095"/>
    <w:rsid w:val="3BCB56FA"/>
    <w:rsid w:val="3BE77877"/>
    <w:rsid w:val="3C0C0783"/>
    <w:rsid w:val="3EE7C2F4"/>
    <w:rsid w:val="3F371B56"/>
    <w:rsid w:val="3F792ED8"/>
    <w:rsid w:val="3F9F3A96"/>
    <w:rsid w:val="3FCF71BB"/>
    <w:rsid w:val="3FECA4B2"/>
    <w:rsid w:val="3FF58C48"/>
    <w:rsid w:val="423963EA"/>
    <w:rsid w:val="42FF6694"/>
    <w:rsid w:val="44432D59"/>
    <w:rsid w:val="444D3FE8"/>
    <w:rsid w:val="44FF1986"/>
    <w:rsid w:val="48BF60AB"/>
    <w:rsid w:val="493C27E9"/>
    <w:rsid w:val="496F39ED"/>
    <w:rsid w:val="49FF41D3"/>
    <w:rsid w:val="4BE068DB"/>
    <w:rsid w:val="4BF6002B"/>
    <w:rsid w:val="4BFFC6BE"/>
    <w:rsid w:val="4ECE2238"/>
    <w:rsid w:val="500458E1"/>
    <w:rsid w:val="503C1316"/>
    <w:rsid w:val="50883541"/>
    <w:rsid w:val="51DB4B86"/>
    <w:rsid w:val="51F64DB0"/>
    <w:rsid w:val="537D646A"/>
    <w:rsid w:val="55333C3E"/>
    <w:rsid w:val="55AC2DA2"/>
    <w:rsid w:val="57AD28EF"/>
    <w:rsid w:val="57D84EF8"/>
    <w:rsid w:val="5C0F6CE5"/>
    <w:rsid w:val="5F67802D"/>
    <w:rsid w:val="5F7DC4F2"/>
    <w:rsid w:val="5FB36814"/>
    <w:rsid w:val="5FBB8E56"/>
    <w:rsid w:val="5FFB5535"/>
    <w:rsid w:val="64CA39A1"/>
    <w:rsid w:val="6657502F"/>
    <w:rsid w:val="69630ADE"/>
    <w:rsid w:val="69BD5F13"/>
    <w:rsid w:val="69FB0B4B"/>
    <w:rsid w:val="6A485397"/>
    <w:rsid w:val="6A753097"/>
    <w:rsid w:val="6BFFE1FB"/>
    <w:rsid w:val="6C4A05C8"/>
    <w:rsid w:val="6D3B1A89"/>
    <w:rsid w:val="6DB7D8A3"/>
    <w:rsid w:val="6DBD51C9"/>
    <w:rsid w:val="6EC78701"/>
    <w:rsid w:val="6F1E36BA"/>
    <w:rsid w:val="6F7A5481"/>
    <w:rsid w:val="6FFE07A9"/>
    <w:rsid w:val="71BF4EC2"/>
    <w:rsid w:val="72734D90"/>
    <w:rsid w:val="73E75B71"/>
    <w:rsid w:val="7412278C"/>
    <w:rsid w:val="75DDCDA9"/>
    <w:rsid w:val="75FF44B1"/>
    <w:rsid w:val="77670518"/>
    <w:rsid w:val="777FA627"/>
    <w:rsid w:val="77DF1B5F"/>
    <w:rsid w:val="77EF2D9D"/>
    <w:rsid w:val="78D0490C"/>
    <w:rsid w:val="79E7B28D"/>
    <w:rsid w:val="7ACFF0C2"/>
    <w:rsid w:val="7AFB9108"/>
    <w:rsid w:val="7BD5340C"/>
    <w:rsid w:val="7BFB19D2"/>
    <w:rsid w:val="7BFD1750"/>
    <w:rsid w:val="7BFDAA1B"/>
    <w:rsid w:val="7C883F5E"/>
    <w:rsid w:val="7CDF9A82"/>
    <w:rsid w:val="7CFFA1BD"/>
    <w:rsid w:val="7D2E3F7A"/>
    <w:rsid w:val="7DDF62DC"/>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EC1957"/>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8F657B01-0D97-43CA-8E9A-8F46583B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2">
    <w:name w:val="标题 2 字符"/>
    <w:basedOn w:val="a0"/>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solidFill>
                  <a:srgbClr val="000000"/>
                </a:solidFill>
                <a:uFillTx/>
              </a:rPr>
              <a:t>收、支决算总计</a:t>
            </a:r>
            <a:r>
              <a:rPr lang="zh-CN" altLang="en-US" sz="1000">
                <a:solidFill>
                  <a:srgbClr val="000000"/>
                </a:solidFill>
                <a:uFillTx/>
                <a:latin typeface="宋体" panose="02010600030101010101" charset="-122"/>
              </a:rPr>
              <a:t>变动</a:t>
            </a:r>
            <a:r>
              <a:rPr lang="zh-CN" altLang="en-US" sz="1000">
                <a:solidFill>
                  <a:srgbClr val="000000"/>
                </a:solidFill>
                <a:uFillTx/>
              </a:rPr>
              <a:t>情况图</a:t>
            </a:r>
          </a:p>
        </c:rich>
      </c:tx>
      <c:layout>
        <c:manualLayout>
          <c:xMode val="edge"/>
          <c:yMode val="edge"/>
          <c:x val="0.371389291752656"/>
          <c:y val="3.1683270001026997E-2"/>
        </c:manualLayout>
      </c:layout>
      <c:overlay val="0"/>
      <c:spPr>
        <a:noFill/>
        <a:ln w="19013">
          <a:noFill/>
        </a:ln>
      </c:spPr>
    </c:title>
    <c:autoTitleDeleted val="0"/>
    <c:plotArea>
      <c:layout>
        <c:manualLayout>
          <c:layoutTarget val="inner"/>
          <c:xMode val="edge"/>
          <c:yMode val="edge"/>
          <c:x val="0.18481012658227899"/>
          <c:y val="0.25274725274725302"/>
          <c:w val="0.79240506329113902"/>
          <c:h val="0.439560439560441"/>
        </c:manualLayout>
      </c:layout>
      <c:barChart>
        <c:barDir val="col"/>
        <c:grouping val="clustered"/>
        <c:varyColors val="0"/>
        <c:ser>
          <c:idx val="0"/>
          <c:order val="0"/>
          <c:tx>
            <c:strRef>
              <c:f>Sheet1!$A$2</c:f>
              <c:strCache>
                <c:ptCount val="1"/>
              </c:strCache>
            </c:strRef>
          </c:tx>
          <c:spPr>
            <a:solidFill>
              <a:srgbClr val="9999FF"/>
            </a:solidFill>
            <a:ln w="9506">
              <a:solidFill>
                <a:srgbClr val="000000"/>
              </a:solidFill>
              <a:prstDash val="solid"/>
            </a:ln>
          </c:spPr>
          <c:invertIfNegative val="0"/>
          <c:dLbls>
            <c:dLbl>
              <c:idx val="0"/>
              <c:layout>
                <c:manualLayout>
                  <c:x val="0"/>
                  <c:y val="-1.9410496046010101E-2"/>
                </c:manualLayout>
              </c:layout>
              <c:tx>
                <c:rich>
                  <a:bodyPr/>
                  <a:lstStyle/>
                  <a:p>
                    <a:r>
                      <a:rPr lang="en-US" altLang="zh-CN" sz="900"/>
                      <a:t>2022</a:t>
                    </a:r>
                    <a:r>
                      <a:rPr lang="zh-CN" altLang="en-US" sz="900"/>
                      <a:t>年</a:t>
                    </a:r>
                    <a:r>
                      <a:rPr lang="en-US" altLang="zh-CN" sz="900"/>
                      <a:t>, 5044.65</a:t>
                    </a:r>
                  </a:p>
                </c:rich>
              </c:tx>
              <c:dLblPos val="outEnd"/>
              <c:showLegendKey val="0"/>
              <c:showVal val="1"/>
              <c:showCatName val="1"/>
              <c:showSerName val="0"/>
              <c:showPercent val="0"/>
              <c:showBubbleSize val="0"/>
              <c:extLst>
                <c:ext xmlns:c15="http://schemas.microsoft.com/office/drawing/2012/chart" uri="{CE6537A1-D6FC-4f65-9D91-7224C49458BB}"/>
              </c:extLst>
            </c:dLbl>
            <c:dLbl>
              <c:idx val="1"/>
              <c:layout>
                <c:manualLayout>
                  <c:x val="-2.0698892000486999E-3"/>
                  <c:y val="-2.1370418982592999E-2"/>
                </c:manualLayout>
              </c:layout>
              <c:tx>
                <c:rich>
                  <a:bodyPr/>
                  <a:lstStyle/>
                  <a:p>
                    <a:r>
                      <a:rPr lang="en-US" altLang="zh-CN" sz="880"/>
                      <a:t>2023</a:t>
                    </a:r>
                    <a:r>
                      <a:rPr lang="zh-CN" altLang="en-US" sz="880"/>
                      <a:t>年</a:t>
                    </a:r>
                    <a:r>
                      <a:rPr lang="en-US" altLang="zh-CN" sz="880"/>
                      <a:t>, 5785.15</a:t>
                    </a:r>
                  </a:p>
                </c:rich>
              </c:tx>
              <c:dLblPos val="outEnd"/>
              <c:showLegendKey val="0"/>
              <c:showVal val="1"/>
              <c:showCatName val="1"/>
              <c:showSerName val="0"/>
              <c:showPercent val="0"/>
              <c:showBubbleSize val="0"/>
              <c:extLst>
                <c:ext xmlns:c15="http://schemas.microsoft.com/office/drawing/2012/chart" uri="{CE6537A1-D6FC-4f65-9D91-7224C49458BB}"/>
              </c:extLst>
            </c:dLbl>
            <c:spPr>
              <a:noFill/>
              <a:ln w="19013">
                <a:noFill/>
              </a:ln>
              <a:effectLst/>
            </c:spPr>
            <c:txPr>
              <a:bodyPr rot="0" spcFirstLastPara="0" vertOverflow="ellipsis" vert="horz" wrap="square" lIns="38100" tIns="19050" rIns="38100" bIns="19050" anchor="ctr" anchorCtr="1">
                <a:spAutoFit/>
              </a:bodyPr>
              <a:lstStyle/>
              <a:p>
                <a:pP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2022年</c:v>
                </c:pt>
                <c:pt idx="1">
                  <c:v>2023年</c:v>
                </c:pt>
              </c:strCache>
            </c:strRef>
          </c:cat>
          <c:val>
            <c:numRef>
              <c:f>Sheet1!$B$2:$C$2</c:f>
              <c:numCache>
                <c:formatCode>General</c:formatCode>
                <c:ptCount val="2"/>
                <c:pt idx="0">
                  <c:v>5044.6499999999996</c:v>
                </c:pt>
                <c:pt idx="1">
                  <c:v>5785.51</c:v>
                </c:pt>
              </c:numCache>
            </c:numRef>
          </c:val>
        </c:ser>
        <c:dLbls>
          <c:showLegendKey val="0"/>
          <c:showVal val="1"/>
          <c:showCatName val="1"/>
          <c:showSerName val="0"/>
          <c:showPercent val="0"/>
          <c:showBubbleSize val="0"/>
        </c:dLbls>
        <c:gapWidth val="150"/>
        <c:axId val="177592840"/>
        <c:axId val="496558984"/>
      </c:barChart>
      <c:catAx>
        <c:axId val="177592840"/>
        <c:scaling>
          <c:orientation val="minMax"/>
        </c:scaling>
        <c:delete val="0"/>
        <c:axPos val="b"/>
        <c:title>
          <c:tx>
            <c:rich>
              <a:bodyPr rot="0" spcFirstLastPara="0" vertOverflow="ellipsis" vert="horz" wrap="square" anchor="ctr" anchorCtr="1"/>
              <a:lstStyle/>
              <a:p>
                <a:pPr algn="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900">
                    <a:solidFill>
                      <a:srgbClr val="000000"/>
                    </a:solidFill>
                    <a:uFillTx/>
                    <a:latin typeface="宋体" panose="02010600030101010101" charset="-122"/>
                  </a:rPr>
                  <a:t>年份</a:t>
                </a:r>
              </a:p>
            </c:rich>
          </c:tx>
          <c:layout>
            <c:manualLayout>
              <c:xMode val="edge"/>
              <c:yMode val="edge"/>
              <c:x val="0.54518138116940296"/>
              <c:y val="0.77621443976584303"/>
            </c:manualLayout>
          </c:layout>
          <c:overlay val="0"/>
          <c:spPr>
            <a:noFill/>
            <a:ln w="19013">
              <a:noFill/>
            </a:ln>
          </c:spPr>
        </c:title>
        <c:numFmt formatCode="General" sourceLinked="1"/>
        <c:majorTickMark val="in"/>
        <c:minorTickMark val="none"/>
        <c:tickLblPos val="nextTo"/>
        <c:spPr>
          <a:ln w="2377" cap="flat" cmpd="sng" algn="ctr">
            <a:solidFill>
              <a:srgbClr val="000000"/>
            </a:solidFill>
            <a:prstDash val="solid"/>
            <a:round/>
          </a:ln>
        </c:spPr>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000000"/>
                  </a:solidFill>
                </a:uFill>
                <a:latin typeface="宋体" panose="02010600030101010101" charset="-122"/>
                <a:ea typeface="宋体" panose="02010600030101010101" charset="-122"/>
                <a:cs typeface="宋体" panose="02010600030101010101" charset="-122"/>
              </a:defRPr>
            </a:pPr>
            <a:endParaRPr lang="zh-CN"/>
          </a:p>
        </c:txPr>
        <c:crossAx val="496558984"/>
        <c:crosses val="autoZero"/>
        <c:auto val="1"/>
        <c:lblAlgn val="ctr"/>
        <c:lblOffset val="100"/>
        <c:tickLblSkip val="1"/>
        <c:noMultiLvlLbl val="0"/>
      </c:catAx>
      <c:valAx>
        <c:axId val="496558984"/>
        <c:scaling>
          <c:orientation val="minMax"/>
        </c:scaling>
        <c:delete val="0"/>
        <c:axPos val="l"/>
        <c:majorGridlines>
          <c:spPr>
            <a:ln w="2377" cap="flat" cmpd="sng" algn="ctr">
              <a:solidFill>
                <a:srgbClr val="000000"/>
              </a:solidFill>
              <a:prstDash val="solid"/>
              <a:round/>
            </a:ln>
          </c:spPr>
        </c:majorGridlines>
        <c:title>
          <c:tx>
            <c:rich>
              <a:bodyPr rot="-5400000" spcFirstLastPara="0" vertOverflow="ellipsis" vert="horz" wrap="square" anchor="ctr" anchorCtr="1"/>
              <a:lstStyle/>
              <a:p>
                <a:pPr algn="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880"/>
                  <a:t>金额</a:t>
                </a:r>
                <a:r>
                  <a:rPr lang="en-US" altLang="zh-CN" sz="880"/>
                  <a:t>/</a:t>
                </a:r>
                <a:r>
                  <a:rPr lang="zh-CN" altLang="en-US" sz="880"/>
                  <a:t>万元</a:t>
                </a:r>
              </a:p>
            </c:rich>
          </c:tx>
          <c:layout>
            <c:manualLayout>
              <c:xMode val="edge"/>
              <c:yMode val="edge"/>
              <c:x val="6.93676434550351E-2"/>
              <c:y val="0.332494608195543"/>
            </c:manualLayout>
          </c:layout>
          <c:overlay val="0"/>
          <c:spPr>
            <a:noFill/>
            <a:ln w="19013">
              <a:noFill/>
            </a:ln>
          </c:spPr>
        </c:title>
        <c:numFmt formatCode="General" sourceLinked="1"/>
        <c:majorTickMark val="in"/>
        <c:minorTickMark val="none"/>
        <c:tickLblPos val="nextTo"/>
        <c:spPr>
          <a:ln w="2377" cap="flat" cmpd="sng" algn="ctr">
            <a:solidFill>
              <a:srgbClr val="000000"/>
            </a:solidFill>
            <a:prstDash val="solid"/>
            <a:round/>
          </a:ln>
        </c:spPr>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000000"/>
                  </a:solidFill>
                </a:uFill>
                <a:latin typeface="宋体" panose="02010600030101010101" charset="-122"/>
                <a:ea typeface="宋体" panose="02010600030101010101" charset="-122"/>
                <a:cs typeface="宋体" panose="02010600030101010101" charset="-122"/>
              </a:defRPr>
            </a:pPr>
            <a:endParaRPr lang="zh-CN"/>
          </a:p>
        </c:txPr>
        <c:crossAx val="177592840"/>
        <c:crosses val="autoZero"/>
        <c:crossBetween val="between"/>
      </c:valAx>
      <c:spPr>
        <a:solidFill>
          <a:srgbClr val="C0C0C0"/>
        </a:solidFill>
        <a:ln w="9506">
          <a:solidFill>
            <a:srgbClr val="808080"/>
          </a:solidFill>
          <a:prstDash val="solid"/>
        </a:ln>
      </c:spPr>
    </c:plotArea>
    <c:plotVisOnly val="1"/>
    <c:dispBlanksAs val="gap"/>
    <c:showDLblsOverMax val="0"/>
  </c:chart>
  <c:spPr>
    <a:noFill/>
    <a:ln w="6350" cap="flat" cmpd="sng" algn="ctr">
      <a:noFill/>
      <a:prstDash val="solid"/>
      <a:round/>
    </a:ln>
  </c:spPr>
  <c:txPr>
    <a:bodyPr/>
    <a:lstStyle/>
    <a:p>
      <a:pPr>
        <a:defRPr lang="zh-CN" sz="6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t>收入决算结构图</a:t>
            </a:r>
          </a:p>
        </c:rich>
      </c:tx>
      <c:layout>
        <c:manualLayout>
          <c:xMode val="edge"/>
          <c:yMode val="edge"/>
          <c:x val="0.45522195962314299"/>
          <c:y val="0.12227786691022099"/>
        </c:manualLayout>
      </c:layout>
      <c:overlay val="0"/>
      <c:spPr>
        <a:noFill/>
        <a:ln w="19016">
          <a:noFill/>
        </a:ln>
      </c:spPr>
    </c:title>
    <c:autoTitleDeleted val="0"/>
    <c:plotArea>
      <c:layout>
        <c:manualLayout>
          <c:layoutTarget val="inner"/>
          <c:xMode val="edge"/>
          <c:yMode val="edge"/>
          <c:x val="0.439971024595051"/>
          <c:y val="0.33404580152671798"/>
          <c:w val="0.229704445717029"/>
          <c:h val="0.58530796931560303"/>
        </c:manualLayout>
      </c:layout>
      <c:pieChart>
        <c:varyColors val="1"/>
        <c:ser>
          <c:idx val="0"/>
          <c:order val="0"/>
          <c:tx>
            <c:strRef>
              <c:f>Sheet1!$A$2</c:f>
              <c:strCache>
                <c:ptCount val="1"/>
              </c:strCache>
            </c:strRef>
          </c:tx>
          <c:spPr>
            <a:solidFill>
              <a:srgbClr val="9999FF"/>
            </a:solidFill>
            <a:ln w="9508">
              <a:solidFill>
                <a:srgbClr val="000000"/>
              </a:solidFill>
              <a:prstDash val="solid"/>
            </a:ln>
          </c:spPr>
          <c:dPt>
            <c:idx val="0"/>
            <c:bubble3D val="0"/>
          </c:dPt>
          <c:dPt>
            <c:idx val="1"/>
            <c:bubble3D val="0"/>
            <c:spPr>
              <a:solidFill>
                <a:srgbClr val="993366"/>
              </a:solidFill>
              <a:ln w="9508">
                <a:solidFill>
                  <a:srgbClr val="000000"/>
                </a:solidFill>
                <a:prstDash val="solid"/>
              </a:ln>
            </c:spPr>
          </c:dPt>
          <c:dLbls>
            <c:dLbl>
              <c:idx val="0"/>
              <c:layout>
                <c:manualLayout>
                  <c:x val="-0.396301893876292"/>
                  <c:y val="-0.42631798094643297"/>
                </c:manualLayout>
              </c:layout>
              <c:tx>
                <c:rich>
                  <a:bodyPr rot="0" spcFirstLastPara="0" vertOverflow="ellipsis" vert="horz" wrap="square" lIns="38100" tIns="19050" rIns="38100" bIns="19050" anchor="ctr" anchorCtr="1"/>
                  <a:lstStyle/>
                  <a:p>
                    <a:pPr defTabSz="914400">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经营收入</a:t>
                    </a:r>
                    <a:r>
                      <a:rPr lang="en-US" altLang="zh-CN"/>
                      <a:t>, 1722.74</a:t>
                    </a:r>
                    <a:r>
                      <a:rPr lang="zh-CN" altLang="en-US"/>
                      <a:t>万元</a:t>
                    </a:r>
                    <a:r>
                      <a:rPr lang="en-US" altLang="zh-CN"/>
                      <a:t>, 29.79%</a:t>
                    </a:r>
                  </a:p>
                </c:rich>
              </c:tx>
              <c:numFmt formatCode="0%" sourceLinked="0"/>
              <c:spPr>
                <a:noFill/>
                <a:ln w="19016">
                  <a:noFill/>
                </a:ln>
                <a:effectLst/>
              </c:spPr>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0.487524918062475"/>
                  <c:y val="0.50299359847416802"/>
                </c:manualLayout>
              </c:layout>
              <c:tx>
                <c:rich>
                  <a:bodyPr rot="0" spcFirstLastPara="0" vertOverflow="ellipsis" vert="horz" wrap="square" lIns="38100" tIns="19050" rIns="38100" bIns="19050" anchor="ctr" anchorCtr="1"/>
                  <a:lstStyle/>
                  <a:p>
                    <a:pPr defTabSz="914400">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一般公共预算财政拨款收入</a:t>
                    </a:r>
                    <a:r>
                      <a:rPr lang="en-US" altLang="zh-CN"/>
                      <a:t>, 4058.4</a:t>
                    </a:r>
                    <a:r>
                      <a:rPr lang="zh-CN" altLang="en-US"/>
                      <a:t>万元</a:t>
                    </a:r>
                    <a:r>
                      <a:rPr lang="en-US" altLang="zh-CN"/>
                      <a:t>, 70.2%</a:t>
                    </a:r>
                  </a:p>
                </c:rich>
              </c:tx>
              <c:numFmt formatCode="0%" sourceLinked="0"/>
              <c:spPr>
                <a:noFill/>
                <a:ln w="19016">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33968781985670399"/>
                      <c:h val="0.223926380368098"/>
                    </c:manualLayout>
                  </c15:layout>
                </c:ext>
              </c:extLst>
            </c:dLbl>
            <c:numFmt formatCode="0%" sourceLinked="0"/>
            <c:spPr>
              <a:noFill/>
              <a:ln w="19016">
                <a:noFill/>
              </a:ln>
              <a:effectLst/>
            </c:spPr>
            <c:txPr>
              <a:bodyPr rot="0" spcFirstLastPara="0" vertOverflow="ellipsis" vert="horz" wrap="square" lIns="38100" tIns="19050" rIns="38100" bIns="19050" anchor="ctr" anchorCtr="1">
                <a:spAutoFit/>
              </a:bodyPr>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Sheet1!$B$1:$C$1</c:f>
              <c:strCache>
                <c:ptCount val="2"/>
                <c:pt idx="0">
                  <c:v>一般公共预算财政拨款收入</c:v>
                </c:pt>
                <c:pt idx="1">
                  <c:v>经营收入</c:v>
                </c:pt>
              </c:strCache>
            </c:strRef>
          </c:cat>
          <c:val>
            <c:numRef>
              <c:f>Sheet1!$B$2:$C$2</c:f>
              <c:numCache>
                <c:formatCode>General</c:formatCode>
                <c:ptCount val="2"/>
                <c:pt idx="0">
                  <c:v>4058.4</c:v>
                </c:pt>
                <c:pt idx="1">
                  <c:v>1722.74</c:v>
                </c:pt>
              </c:numCache>
            </c:numRef>
          </c:val>
        </c:ser>
        <c:dLbls>
          <c:showLegendKey val="0"/>
          <c:showVal val="1"/>
          <c:showCatName val="1"/>
          <c:showSerName val="0"/>
          <c:showPercent val="1"/>
          <c:showBubbleSize val="0"/>
          <c:showLeaderLines val="1"/>
        </c:dLbls>
        <c:firstSliceAng val="0"/>
      </c:pieChart>
      <c:spPr>
        <a:solidFill>
          <a:srgbClr val="C0C0C0"/>
        </a:solidFill>
        <a:ln w="9508">
          <a:solidFill>
            <a:srgbClr val="808080"/>
          </a:solidFill>
          <a:prstDash val="solid"/>
        </a:ln>
      </c:spPr>
    </c:plotArea>
    <c:legend>
      <c:legendPos val="r"/>
      <c:layout>
        <c:manualLayout>
          <c:xMode val="edge"/>
          <c:yMode val="edge"/>
          <c:x val="0.71238485158648901"/>
          <c:y val="0.40865712338104998"/>
          <c:w val="0.27635619242579301"/>
          <c:h val="0.35378323108384502"/>
        </c:manualLayout>
      </c:layout>
      <c:overlay val="0"/>
      <c:spPr>
        <a:noFill/>
        <a:ln w="2377">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noFill/>
    <a:ln w="6350"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t>一般公共预算财政拨款支出决算结构图</a:t>
            </a:r>
          </a:p>
        </c:rich>
      </c:tx>
      <c:layout>
        <c:manualLayout>
          <c:xMode val="edge"/>
          <c:yMode val="edge"/>
          <c:x val="0.307519777262178"/>
          <c:y val="4.41217929117141E-2"/>
        </c:manualLayout>
      </c:layout>
      <c:overlay val="0"/>
      <c:spPr>
        <a:noFill/>
        <a:ln w="19014">
          <a:noFill/>
        </a:ln>
      </c:spPr>
    </c:title>
    <c:autoTitleDeleted val="0"/>
    <c:plotArea>
      <c:layout>
        <c:manualLayout>
          <c:layoutTarget val="inner"/>
          <c:xMode val="edge"/>
          <c:yMode val="edge"/>
          <c:x val="0.19242723933314501"/>
          <c:y val="0.269593785156444"/>
          <c:w val="0.32372790841867799"/>
          <c:h val="0.53398884544101599"/>
        </c:manualLayout>
      </c:layout>
      <c:pieChart>
        <c:varyColors val="1"/>
        <c:ser>
          <c:idx val="0"/>
          <c:order val="0"/>
          <c:tx>
            <c:strRef>
              <c:f>Sheet1!$A$2</c:f>
              <c:strCache>
                <c:ptCount val="1"/>
              </c:strCache>
            </c:strRef>
          </c:tx>
          <c:spPr>
            <a:solidFill>
              <a:srgbClr val="9999FF"/>
            </a:solidFill>
            <a:ln w="9507">
              <a:solidFill>
                <a:srgbClr val="000000"/>
              </a:solidFill>
              <a:prstDash val="solid"/>
            </a:ln>
          </c:spPr>
          <c:dPt>
            <c:idx val="0"/>
            <c:bubble3D val="0"/>
          </c:dPt>
          <c:dPt>
            <c:idx val="1"/>
            <c:bubble3D val="0"/>
            <c:spPr>
              <a:solidFill>
                <a:srgbClr val="993366"/>
              </a:solidFill>
              <a:ln w="9507">
                <a:solidFill>
                  <a:srgbClr val="000000"/>
                </a:solidFill>
                <a:prstDash val="solid"/>
              </a:ln>
            </c:spPr>
          </c:dPt>
          <c:dPt>
            <c:idx val="2"/>
            <c:bubble3D val="0"/>
            <c:spPr>
              <a:solidFill>
                <a:srgbClr val="FFFFCC"/>
              </a:solidFill>
              <a:ln w="9507">
                <a:solidFill>
                  <a:srgbClr val="000000"/>
                </a:solidFill>
                <a:prstDash val="solid"/>
              </a:ln>
            </c:spPr>
          </c:dPt>
          <c:dLbls>
            <c:dLbl>
              <c:idx val="0"/>
              <c:tx>
                <c:rich>
                  <a:bodyPr/>
                  <a:lstStyle/>
                  <a:p>
                    <a:r>
                      <a:rPr lang="en-US" altLang="zh-CN"/>
                      <a:t>2504.91</a:t>
                    </a:r>
                    <a:r>
                      <a:rPr lang="en-US"/>
                      <a:t>, 4</a:t>
                    </a:r>
                    <a:r>
                      <a:rPr lang="en-US" altLang="zh-CN"/>
                      <a:t>8.84</a:t>
                    </a:r>
                    <a:r>
                      <a:rPr lang="en-US"/>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4.2979942693409698E-2"/>
                  <c:y val="-4.9083769633507896E-3"/>
                </c:manualLayout>
              </c:layout>
              <c:tx>
                <c:rich>
                  <a:bodyPr/>
                  <a:lstStyle/>
                  <a:p>
                    <a:r>
                      <a:rPr lang="en-US" altLang="zh-CN"/>
                      <a:t>1553.49</a:t>
                    </a:r>
                    <a:r>
                      <a:rPr lang="en-US"/>
                      <a:t>, 30</a:t>
                    </a:r>
                    <a:r>
                      <a:rPr lang="en-US" altLang="zh-CN"/>
                      <a:t>.29</a:t>
                    </a:r>
                    <a:r>
                      <a:rPr lang="en-US"/>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2"/>
              <c:layout>
                <c:manualLayout>
                  <c:x val="-7.9294016149307894E-2"/>
                  <c:y val="2.1470704887589901E-2"/>
                </c:manualLayout>
              </c:layout>
              <c:tx>
                <c:rich>
                  <a:bodyPr/>
                  <a:lstStyle/>
                  <a:p>
                    <a:r>
                      <a:rPr lang="en-US" altLang="zh-CN"/>
                      <a:t>1070.01, 20.86%</a:t>
                    </a:r>
                  </a:p>
                </c:rich>
              </c:tx>
              <c:dLblPos val="bestFit"/>
              <c:showLegendKey val="0"/>
              <c:showVal val="1"/>
              <c:showCatName val="0"/>
              <c:showSerName val="0"/>
              <c:showPercent val="1"/>
              <c:showBubbleSize val="0"/>
              <c:extLst>
                <c:ext xmlns:c15="http://schemas.microsoft.com/office/drawing/2012/chart" uri="{CE6537A1-D6FC-4f65-9D91-7224C49458BB}"/>
              </c:extLst>
            </c:dLbl>
            <c:numFmt formatCode="0%" sourceLinked="0"/>
            <c:spPr>
              <a:noFill/>
              <a:ln w="19014">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Sheet1!$B$1:$D$1</c:f>
              <c:strCache>
                <c:ptCount val="3"/>
                <c:pt idx="0">
                  <c:v>基本支出</c:v>
                </c:pt>
                <c:pt idx="1">
                  <c:v>项目支出</c:v>
                </c:pt>
                <c:pt idx="2">
                  <c:v>经营支出</c:v>
                </c:pt>
              </c:strCache>
            </c:strRef>
          </c:cat>
          <c:val>
            <c:numRef>
              <c:f>Sheet1!$B$2:$D$2</c:f>
              <c:numCache>
                <c:formatCode>General</c:formatCode>
                <c:ptCount val="3"/>
                <c:pt idx="0">
                  <c:v>2504.91</c:v>
                </c:pt>
                <c:pt idx="1">
                  <c:v>1553.49</c:v>
                </c:pt>
                <c:pt idx="2">
                  <c:v>1070.01</c:v>
                </c:pt>
              </c:numCache>
            </c:numRef>
          </c:val>
        </c:ser>
        <c:dLbls>
          <c:showLegendKey val="0"/>
          <c:showVal val="1"/>
          <c:showCatName val="0"/>
          <c:showSerName val="0"/>
          <c:showPercent val="1"/>
          <c:showBubbleSize val="0"/>
          <c:showLeaderLines val="1"/>
        </c:dLbls>
        <c:firstSliceAng val="0"/>
      </c:pieChart>
      <c:spPr>
        <a:solidFill>
          <a:srgbClr val="C0C0C0"/>
        </a:solidFill>
        <a:ln w="9507">
          <a:solidFill>
            <a:srgbClr val="808080"/>
          </a:solidFill>
          <a:prstDash val="solid"/>
        </a:ln>
      </c:spPr>
    </c:plotArea>
    <c:legend>
      <c:legendPos val="r"/>
      <c:legendEntry>
        <c:idx val="0"/>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Entry>
      <c:legendEntry>
        <c:idx val="2"/>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Entry>
      <c:layout>
        <c:manualLayout>
          <c:xMode val="edge"/>
          <c:yMode val="edge"/>
          <c:x val="0.60773140304943896"/>
          <c:y val="0.26993865030674802"/>
          <c:w val="0.38564608039427201"/>
          <c:h val="0.53432661408121496"/>
        </c:manualLayout>
      </c:layout>
      <c:overlay val="0"/>
      <c:spPr>
        <a:noFill/>
        <a:ln w="2377">
          <a:solidFill>
            <a:srgbClr val="000000"/>
          </a:solidFill>
          <a:prstDash val="soli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noFill/>
    <a:ln w="6350" cap="flat" cmpd="sng" algn="ctr">
      <a:no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solidFill>
                  <a:srgbClr val="000000"/>
                </a:solidFill>
                <a:uFillTx/>
                <a:latin typeface="宋体" panose="02010600030101010101" charset="-122"/>
              </a:rPr>
              <a:t>财政拨款收、支决算总计变动变动情况图</a:t>
            </a:r>
          </a:p>
        </c:rich>
      </c:tx>
      <c:layout>
        <c:manualLayout>
          <c:xMode val="edge"/>
          <c:yMode val="edge"/>
          <c:x val="0.297731407169609"/>
          <c:y val="2.3683924888744198E-2"/>
        </c:manualLayout>
      </c:layout>
      <c:overlay val="0"/>
      <c:spPr>
        <a:noFill/>
        <a:ln w="19024">
          <a:noFill/>
        </a:ln>
      </c:spPr>
    </c:title>
    <c:autoTitleDeleted val="0"/>
    <c:plotArea>
      <c:layout>
        <c:manualLayout>
          <c:layoutTarget val="inner"/>
          <c:xMode val="edge"/>
          <c:yMode val="edge"/>
          <c:x val="0.185593008739076"/>
          <c:y val="0.23672641190395699"/>
          <c:w val="0.75298377028714103"/>
          <c:h val="0.431653703077444"/>
        </c:manualLayout>
      </c:layout>
      <c:barChart>
        <c:barDir val="col"/>
        <c:grouping val="clustered"/>
        <c:varyColors val="0"/>
        <c:ser>
          <c:idx val="0"/>
          <c:order val="0"/>
          <c:tx>
            <c:strRef>
              <c:f>Sheet1!$A$2</c:f>
              <c:strCache>
                <c:ptCount val="1"/>
              </c:strCache>
            </c:strRef>
          </c:tx>
          <c:spPr>
            <a:solidFill>
              <a:srgbClr val="9999FF"/>
            </a:solidFill>
            <a:ln w="9512">
              <a:solidFill>
                <a:srgbClr val="000000"/>
              </a:solidFill>
              <a:prstDash val="solid"/>
            </a:ln>
          </c:spPr>
          <c:invertIfNegative val="0"/>
          <c:dLbls>
            <c:spPr>
              <a:noFill/>
              <a:ln w="19024">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2022年</c:v>
                </c:pt>
                <c:pt idx="1">
                  <c:v>2023年</c:v>
                </c:pt>
              </c:strCache>
            </c:strRef>
          </c:cat>
          <c:val>
            <c:numRef>
              <c:f>Sheet1!$B$2:$C$2</c:f>
              <c:numCache>
                <c:formatCode>General</c:formatCode>
                <c:ptCount val="2"/>
                <c:pt idx="0">
                  <c:v>5040.62</c:v>
                </c:pt>
                <c:pt idx="1">
                  <c:v>4058.4</c:v>
                </c:pt>
              </c:numCache>
            </c:numRef>
          </c:val>
        </c:ser>
        <c:dLbls>
          <c:showLegendKey val="0"/>
          <c:showVal val="1"/>
          <c:showCatName val="1"/>
          <c:showSerName val="0"/>
          <c:showPercent val="0"/>
          <c:showBubbleSize val="0"/>
        </c:dLbls>
        <c:gapWidth val="150"/>
        <c:axId val="496560552"/>
        <c:axId val="496560944"/>
      </c:barChart>
      <c:catAx>
        <c:axId val="496560552"/>
        <c:scaling>
          <c:orientation val="minMax"/>
        </c:scaling>
        <c:delete val="0"/>
        <c:axPos val="b"/>
        <c:title>
          <c:tx>
            <c:rich>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年份</a:t>
                </a:r>
              </a:p>
            </c:rich>
          </c:tx>
          <c:layout>
            <c:manualLayout>
              <c:xMode val="edge"/>
              <c:yMode val="edge"/>
              <c:x val="0.52993401105760696"/>
              <c:y val="0.78709655554226998"/>
            </c:manualLayout>
          </c:layout>
          <c:overlay val="0"/>
          <c:spPr>
            <a:noFill/>
            <a:ln w="19024">
              <a:noFill/>
            </a:ln>
          </c:spPr>
        </c:title>
        <c:numFmt formatCode="General" sourceLinked="1"/>
        <c:majorTickMark val="in"/>
        <c:minorTickMark val="none"/>
        <c:tickLblPos val="nextTo"/>
        <c:spPr>
          <a:ln w="2378"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496560944"/>
        <c:crosses val="autoZero"/>
        <c:auto val="1"/>
        <c:lblAlgn val="ctr"/>
        <c:lblOffset val="100"/>
        <c:tickLblSkip val="1"/>
        <c:noMultiLvlLbl val="0"/>
      </c:catAx>
      <c:valAx>
        <c:axId val="496560944"/>
        <c:scaling>
          <c:orientation val="minMax"/>
        </c:scaling>
        <c:delete val="0"/>
        <c:axPos val="l"/>
        <c:majorGridlines>
          <c:spPr>
            <a:ln w="2378" cap="flat" cmpd="sng" algn="ctr">
              <a:solidFill>
                <a:srgbClr val="000000"/>
              </a:solidFill>
              <a:prstDash val="solid"/>
              <a:round/>
            </a:ln>
          </c:spPr>
        </c:majorGridlines>
        <c:title>
          <c:tx>
            <c:rich>
              <a:bodyPr rot="-54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金额</a:t>
                </a:r>
                <a:r>
                  <a:rPr lang="en-US" altLang="zh-CN"/>
                  <a:t>/</a:t>
                </a:r>
                <a:r>
                  <a:rPr lang="zh-CN" altLang="en-US"/>
                  <a:t>万元</a:t>
                </a:r>
              </a:p>
            </c:rich>
          </c:tx>
          <c:layout>
            <c:manualLayout>
              <c:xMode val="edge"/>
              <c:yMode val="edge"/>
              <c:x val="6.0902443374353597E-2"/>
              <c:y val="0.25239705831603398"/>
            </c:manualLayout>
          </c:layout>
          <c:overlay val="0"/>
          <c:spPr>
            <a:noFill/>
            <a:ln w="19024">
              <a:noFill/>
            </a:ln>
          </c:spPr>
        </c:title>
        <c:numFmt formatCode="General" sourceLinked="1"/>
        <c:majorTickMark val="in"/>
        <c:minorTickMark val="none"/>
        <c:tickLblPos val="nextTo"/>
        <c:spPr>
          <a:ln w="2378"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496560552"/>
        <c:crosses val="autoZero"/>
        <c:crossBetween val="between"/>
      </c:valAx>
      <c:spPr>
        <a:solidFill>
          <a:srgbClr val="C0C0C0"/>
        </a:solidFill>
        <a:ln w="19024">
          <a:noFill/>
        </a:ln>
      </c:spPr>
    </c:plotArea>
    <c:plotVisOnly val="1"/>
    <c:dispBlanksAs val="gap"/>
    <c:showDLblsOverMax val="0"/>
  </c:chart>
  <c:spPr>
    <a:noFill/>
    <a:ln w="6350"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t>一般公共预算财政拨款支出决算总体情况图</a:t>
            </a:r>
          </a:p>
        </c:rich>
      </c:tx>
      <c:layout>
        <c:manualLayout>
          <c:xMode val="edge"/>
          <c:yMode val="edge"/>
          <c:x val="0.27433985817789802"/>
          <c:y val="2.7722712530432E-2"/>
        </c:manualLayout>
      </c:layout>
      <c:overlay val="0"/>
      <c:spPr>
        <a:noFill/>
        <a:ln w="19021">
          <a:noFill/>
        </a:ln>
      </c:spPr>
    </c:title>
    <c:autoTitleDeleted val="0"/>
    <c:plotArea>
      <c:layout>
        <c:manualLayout>
          <c:layoutTarget val="inner"/>
          <c:xMode val="edge"/>
          <c:yMode val="edge"/>
          <c:x val="0.16375854100652601"/>
          <c:y val="0.23899156220835499"/>
          <c:w val="0.81573498964803304"/>
          <c:h val="0.49568965517241398"/>
        </c:manualLayout>
      </c:layout>
      <c:barChart>
        <c:barDir val="col"/>
        <c:grouping val="clustered"/>
        <c:varyColors val="0"/>
        <c:ser>
          <c:idx val="0"/>
          <c:order val="0"/>
          <c:tx>
            <c:strRef>
              <c:f>Sheet1!$A$2</c:f>
              <c:strCache>
                <c:ptCount val="1"/>
              </c:strCache>
            </c:strRef>
          </c:tx>
          <c:spPr>
            <a:solidFill>
              <a:srgbClr val="9999FF"/>
            </a:solidFill>
            <a:ln w="9511">
              <a:solidFill>
                <a:srgbClr val="000000"/>
              </a:solidFill>
              <a:prstDash val="solid"/>
            </a:ln>
          </c:spPr>
          <c:invertIfNegative val="0"/>
          <c:dLbls>
            <c:spPr>
              <a:noFill/>
              <a:ln w="19021">
                <a:noFill/>
              </a:ln>
              <a:effectLst/>
            </c:spPr>
            <c:txPr>
              <a:bodyPr rot="0" spcFirstLastPara="0" vertOverflow="ellipsis" vert="horz" wrap="square" lIns="38100" tIns="19050" rIns="38100" bIns="19050" anchor="ctr" anchorCtr="1">
                <a:spAutoFit/>
              </a:bodyPr>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2022</c:v>
                </c:pt>
                <c:pt idx="1">
                  <c:v>2023</c:v>
                </c:pt>
              </c:numCache>
            </c:numRef>
          </c:cat>
          <c:val>
            <c:numRef>
              <c:f>Sheet1!$B$2:$C$2</c:f>
              <c:numCache>
                <c:formatCode>General</c:formatCode>
                <c:ptCount val="2"/>
                <c:pt idx="0">
                  <c:v>5040.6400000000003</c:v>
                </c:pt>
                <c:pt idx="1">
                  <c:v>4058.4</c:v>
                </c:pt>
              </c:numCache>
            </c:numRef>
          </c:val>
        </c:ser>
        <c:dLbls>
          <c:showLegendKey val="0"/>
          <c:showVal val="1"/>
          <c:showCatName val="1"/>
          <c:showSerName val="0"/>
          <c:showPercent val="0"/>
          <c:showBubbleSize val="0"/>
        </c:dLbls>
        <c:gapWidth val="150"/>
        <c:axId val="496561728"/>
        <c:axId val="496562120"/>
      </c:barChart>
      <c:catAx>
        <c:axId val="496561728"/>
        <c:scaling>
          <c:orientation val="minMax"/>
        </c:scaling>
        <c:delete val="0"/>
        <c:axPos val="b"/>
        <c:title>
          <c:tx>
            <c:rich>
              <a:bodyPr rot="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年份</a:t>
                </a:r>
              </a:p>
            </c:rich>
          </c:tx>
          <c:layout>
            <c:manualLayout>
              <c:xMode val="edge"/>
              <c:yMode val="edge"/>
              <c:x val="0.53810481303074098"/>
              <c:y val="0.813699125916717"/>
            </c:manualLayout>
          </c:layout>
          <c:overlay val="0"/>
          <c:spPr>
            <a:noFill/>
            <a:ln w="19021">
              <a:noFill/>
            </a:ln>
          </c:spPr>
        </c:title>
        <c:numFmt formatCode="General" sourceLinked="1"/>
        <c:majorTickMark val="in"/>
        <c:minorTickMark val="none"/>
        <c:tickLblPos val="nextTo"/>
        <c:spPr>
          <a:ln w="2378" cap="flat" cmpd="sng" algn="ctr">
            <a:solidFill>
              <a:srgbClr val="000000"/>
            </a:solidFill>
            <a:prstDash val="solid"/>
            <a:round/>
          </a:ln>
        </c:spPr>
        <c:txPr>
          <a:bodyPr rot="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496562120"/>
        <c:crosses val="autoZero"/>
        <c:auto val="1"/>
        <c:lblAlgn val="ctr"/>
        <c:lblOffset val="100"/>
        <c:tickLblSkip val="1"/>
        <c:noMultiLvlLbl val="0"/>
      </c:catAx>
      <c:valAx>
        <c:axId val="496562120"/>
        <c:scaling>
          <c:orientation val="minMax"/>
        </c:scaling>
        <c:delete val="0"/>
        <c:axPos val="l"/>
        <c:majorGridlines>
          <c:spPr>
            <a:ln w="2378" cap="flat" cmpd="sng" algn="ctr">
              <a:solidFill>
                <a:srgbClr val="000000"/>
              </a:solidFill>
              <a:prstDash val="solid"/>
              <a:round/>
            </a:ln>
          </c:spPr>
        </c:majorGridlines>
        <c:title>
          <c:tx>
            <c:rich>
              <a:bodyPr rot="-540000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金额</a:t>
                </a:r>
                <a:r>
                  <a:rPr lang="en-US" altLang="zh-CN"/>
                  <a:t>/</a:t>
                </a:r>
                <a:r>
                  <a:rPr lang="zh-CN" altLang="en-US"/>
                  <a:t>万元</a:t>
                </a:r>
              </a:p>
            </c:rich>
          </c:tx>
          <c:layout>
            <c:manualLayout>
              <c:xMode val="edge"/>
              <c:yMode val="edge"/>
              <c:x val="3.2813504399332498E-2"/>
              <c:y val="0.32220234222511401"/>
            </c:manualLayout>
          </c:layout>
          <c:overlay val="0"/>
          <c:spPr>
            <a:noFill/>
            <a:ln w="19021">
              <a:noFill/>
            </a:ln>
          </c:spPr>
        </c:title>
        <c:numFmt formatCode="General" sourceLinked="1"/>
        <c:majorTickMark val="in"/>
        <c:minorTickMark val="none"/>
        <c:tickLblPos val="nextTo"/>
        <c:spPr>
          <a:ln w="2378" cap="flat" cmpd="sng" algn="ctr">
            <a:solidFill>
              <a:srgbClr val="000000"/>
            </a:solidFill>
            <a:prstDash val="solid"/>
            <a:round/>
          </a:ln>
        </c:spPr>
        <c:txPr>
          <a:bodyPr rot="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496561728"/>
        <c:crosses val="autoZero"/>
        <c:crossBetween val="between"/>
      </c:valAx>
      <c:spPr>
        <a:solidFill>
          <a:srgbClr val="C0C0C0"/>
        </a:solidFill>
        <a:ln w="9511">
          <a:solidFill>
            <a:srgbClr val="808080"/>
          </a:solidFill>
          <a:prstDash val="solid"/>
        </a:ln>
      </c:spPr>
    </c:plotArea>
    <c:plotVisOnly val="1"/>
    <c:dispBlanksAs val="gap"/>
    <c:showDLblsOverMax val="0"/>
  </c:chart>
  <c:spPr>
    <a:noFill/>
    <a:ln w="6350" cap="flat" cmpd="sng" algn="ctr">
      <a:noFill/>
      <a:prstDash val="solid"/>
      <a:round/>
    </a:ln>
  </c:spPr>
  <c:txPr>
    <a:bodyPr/>
    <a:lstStyle/>
    <a:p>
      <a:pPr>
        <a:defRPr lang="zh-CN" sz="86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t>一般公共预算财政拨款支出决算结构图</a:t>
            </a:r>
          </a:p>
        </c:rich>
      </c:tx>
      <c:layout>
        <c:manualLayout>
          <c:xMode val="edge"/>
          <c:yMode val="edge"/>
          <c:x val="0.307519777262178"/>
          <c:y val="4.41217929117141E-2"/>
        </c:manualLayout>
      </c:layout>
      <c:overlay val="0"/>
      <c:spPr>
        <a:noFill/>
        <a:ln w="19014">
          <a:noFill/>
        </a:ln>
      </c:spPr>
    </c:title>
    <c:autoTitleDeleted val="0"/>
    <c:plotArea>
      <c:layout>
        <c:manualLayout>
          <c:layoutTarget val="inner"/>
          <c:xMode val="edge"/>
          <c:yMode val="edge"/>
          <c:x val="0.19242723933314501"/>
          <c:y val="0.269593785156444"/>
          <c:w val="0.32372790841867799"/>
          <c:h val="0.53398884544101599"/>
        </c:manualLayout>
      </c:layout>
      <c:pieChart>
        <c:varyColors val="1"/>
        <c:ser>
          <c:idx val="0"/>
          <c:order val="0"/>
          <c:tx>
            <c:strRef>
              <c:f>Sheet1!$A$2</c:f>
              <c:strCache>
                <c:ptCount val="1"/>
              </c:strCache>
            </c:strRef>
          </c:tx>
          <c:spPr>
            <a:solidFill>
              <a:srgbClr val="9999FF"/>
            </a:solidFill>
            <a:ln w="9507">
              <a:solidFill>
                <a:srgbClr val="000000"/>
              </a:solidFill>
              <a:prstDash val="solid"/>
            </a:ln>
          </c:spPr>
          <c:dPt>
            <c:idx val="0"/>
            <c:bubble3D val="0"/>
          </c:dPt>
          <c:dPt>
            <c:idx val="1"/>
            <c:bubble3D val="0"/>
            <c:spPr>
              <a:solidFill>
                <a:srgbClr val="993366"/>
              </a:solidFill>
              <a:ln w="9507">
                <a:solidFill>
                  <a:srgbClr val="000000"/>
                </a:solidFill>
                <a:prstDash val="solid"/>
              </a:ln>
            </c:spPr>
          </c:dPt>
          <c:dPt>
            <c:idx val="2"/>
            <c:bubble3D val="0"/>
            <c:spPr>
              <a:solidFill>
                <a:srgbClr val="FFFFCC"/>
              </a:solidFill>
              <a:ln w="9507">
                <a:solidFill>
                  <a:srgbClr val="000000"/>
                </a:solidFill>
                <a:prstDash val="solid"/>
              </a:ln>
            </c:spPr>
          </c:dPt>
          <c:dPt>
            <c:idx val="3"/>
            <c:bubble3D val="0"/>
            <c:spPr>
              <a:solidFill>
                <a:srgbClr val="CCFFFF"/>
              </a:solidFill>
              <a:ln w="9507">
                <a:solidFill>
                  <a:srgbClr val="000000"/>
                </a:solidFill>
                <a:prstDash val="solid"/>
              </a:ln>
            </c:spPr>
          </c:dPt>
          <c:dPt>
            <c:idx val="4"/>
            <c:bubble3D val="0"/>
          </c:dPt>
          <c:dPt>
            <c:idx val="5"/>
            <c:bubble3D val="0"/>
          </c:dPt>
          <c:dLbls>
            <c:dLbl>
              <c:idx val="0"/>
              <c:layout>
                <c:manualLayout>
                  <c:x val="1.1721802552748101E-2"/>
                  <c:y val="1.4725130890052399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3.69620919580292E-2"/>
                  <c:y val="0.12273262309689099"/>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2"/>
              <c:layout>
                <c:manualLayout>
                  <c:x val="-0.108165671657882"/>
                  <c:y val="9.0145176557951595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3"/>
              <c:layout>
                <c:manualLayout>
                  <c:x val="-0.12151959302873"/>
                  <c:y val="7.3170319330612401E-3"/>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4"/>
              <c:layout>
                <c:manualLayout>
                  <c:x val="-9.9406926502494095E-2"/>
                  <c:y val="-7.1009923314669002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5"/>
              <c:layout>
                <c:manualLayout>
                  <c:x val="0.10022915312797"/>
                  <c:y val="-7.17850651204896E-3"/>
                </c:manualLayout>
              </c:layout>
              <c:dLblPos val="bestFit"/>
              <c:showLegendKey val="0"/>
              <c:showVal val="1"/>
              <c:showCatName val="0"/>
              <c:showSerName val="0"/>
              <c:showPercent val="1"/>
              <c:showBubbleSize val="0"/>
              <c:extLst>
                <c:ext xmlns:c15="http://schemas.microsoft.com/office/drawing/2012/chart" uri="{CE6537A1-D6FC-4f65-9D91-7224C49458BB}"/>
              </c:extLst>
            </c:dLbl>
            <c:numFmt formatCode="0%" sourceLinked="0"/>
            <c:spPr>
              <a:noFill/>
              <a:ln w="19014">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Sheet1!$B$1:$G$1</c:f>
              <c:strCache>
                <c:ptCount val="6"/>
                <c:pt idx="0">
                  <c:v>一般公共服务支出</c:v>
                </c:pt>
                <c:pt idx="1">
                  <c:v>社会保障和就业支出</c:v>
                </c:pt>
                <c:pt idx="2">
                  <c:v>科学技术支撑</c:v>
                </c:pt>
                <c:pt idx="3">
                  <c:v>住房保障支出</c:v>
                </c:pt>
                <c:pt idx="4">
                  <c:v>卫生健康支出</c:v>
                </c:pt>
                <c:pt idx="5">
                  <c:v>农林水支出</c:v>
                </c:pt>
              </c:strCache>
            </c:strRef>
          </c:cat>
          <c:val>
            <c:numRef>
              <c:f>Sheet1!$B$2:$G$2</c:f>
              <c:numCache>
                <c:formatCode>General</c:formatCode>
                <c:ptCount val="6"/>
                <c:pt idx="0">
                  <c:v>3014.58</c:v>
                </c:pt>
                <c:pt idx="1">
                  <c:v>483.95</c:v>
                </c:pt>
                <c:pt idx="2">
                  <c:v>249.78</c:v>
                </c:pt>
                <c:pt idx="3">
                  <c:v>172.69</c:v>
                </c:pt>
                <c:pt idx="4">
                  <c:v>135.28</c:v>
                </c:pt>
                <c:pt idx="5">
                  <c:v>2.12</c:v>
                </c:pt>
              </c:numCache>
            </c:numRef>
          </c:val>
        </c:ser>
        <c:dLbls>
          <c:showLegendKey val="0"/>
          <c:showVal val="1"/>
          <c:showCatName val="0"/>
          <c:showSerName val="0"/>
          <c:showPercent val="1"/>
          <c:showBubbleSize val="0"/>
          <c:showLeaderLines val="1"/>
        </c:dLbls>
        <c:firstSliceAng val="0"/>
      </c:pieChart>
      <c:spPr>
        <a:solidFill>
          <a:srgbClr val="C0C0C0"/>
        </a:solidFill>
        <a:ln w="9507">
          <a:solidFill>
            <a:srgbClr val="808080"/>
          </a:solidFill>
          <a:prstDash val="solid"/>
        </a:ln>
      </c:spPr>
    </c:plotArea>
    <c:legend>
      <c:legendPos val="r"/>
      <c:legendEntry>
        <c:idx val="0"/>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Entry>
      <c:legendEntry>
        <c:idx val="2"/>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Entry>
      <c:legendEntry>
        <c:idx val="3"/>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Entry>
      <c:layout>
        <c:manualLayout>
          <c:xMode val="edge"/>
          <c:yMode val="edge"/>
          <c:x val="0.60773140304943896"/>
          <c:y val="0.26993865030674802"/>
          <c:w val="0.38564608039427201"/>
          <c:h val="0.53432661408121496"/>
        </c:manualLayout>
      </c:layout>
      <c:overlay val="0"/>
      <c:spPr>
        <a:noFill/>
        <a:ln w="2377">
          <a:solidFill>
            <a:srgbClr val="000000"/>
          </a:solidFill>
          <a:prstDash val="soli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noFill/>
    <a:ln w="6350" cap="flat" cmpd="sng" algn="ctr">
      <a:no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12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“三公”经费财政拨款支出结构图</a:t>
            </a:r>
          </a:p>
        </c:rich>
      </c:tx>
      <c:layout>
        <c:manualLayout>
          <c:xMode val="edge"/>
          <c:yMode val="edge"/>
          <c:x val="0.31394750656168002"/>
          <c:y val="5.5278314541395403E-2"/>
        </c:manualLayout>
      </c:layout>
      <c:overlay val="0"/>
      <c:spPr>
        <a:noFill/>
        <a:ln w="18990">
          <a:noFill/>
        </a:ln>
      </c:spPr>
    </c:title>
    <c:autoTitleDeleted val="0"/>
    <c:plotArea>
      <c:layout>
        <c:manualLayout>
          <c:layoutTarget val="inner"/>
          <c:xMode val="edge"/>
          <c:yMode val="edge"/>
          <c:x val="0.38677726181663202"/>
          <c:y val="0.286118980169973"/>
          <c:w val="0.22158983332211701"/>
          <c:h val="0.59791591002639199"/>
        </c:manualLayout>
      </c:layout>
      <c:pieChart>
        <c:varyColors val="1"/>
        <c:ser>
          <c:idx val="0"/>
          <c:order val="0"/>
          <c:tx>
            <c:strRef>
              <c:f>Sheet1!$A$2</c:f>
              <c:strCache>
                <c:ptCount val="1"/>
              </c:strCache>
            </c:strRef>
          </c:tx>
          <c:spPr>
            <a:solidFill>
              <a:srgbClr val="9999FF"/>
            </a:solidFill>
            <a:ln w="9495">
              <a:solidFill>
                <a:srgbClr val="000000"/>
              </a:solidFill>
              <a:prstDash val="solid"/>
            </a:ln>
          </c:spPr>
          <c:dPt>
            <c:idx val="0"/>
            <c:bubble3D val="0"/>
          </c:dPt>
          <c:dPt>
            <c:idx val="1"/>
            <c:bubble3D val="0"/>
            <c:spPr>
              <a:solidFill>
                <a:srgbClr val="993366"/>
              </a:solidFill>
              <a:ln w="9495">
                <a:solidFill>
                  <a:srgbClr val="000000"/>
                </a:solidFill>
                <a:prstDash val="solid"/>
              </a:ln>
            </c:spPr>
          </c:dPt>
          <c:dLbls>
            <c:dLbl>
              <c:idx val="0"/>
              <c:layout>
                <c:manualLayout>
                  <c:x val="-0.31524769931147301"/>
                  <c:y val="-0.147662889518414"/>
                </c:manualLayout>
              </c:layout>
              <c:tx>
                <c:rich>
                  <a:bodyPr rot="0" spcFirstLastPara="0" vertOverflow="ellipsis" vert="horz" wrap="square" lIns="38100" tIns="19050" rIns="38100" bIns="19050" anchor="ctr" anchorCtr="1"/>
                  <a:lstStyle/>
                  <a:p>
                    <a:pPr defTabSz="914400">
                      <a:defRPr lang="zh-CN" sz="112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公务用车购置及运行维护费支出决算</a:t>
                    </a:r>
                    <a:r>
                      <a:rPr lang="en-US" altLang="zh-CN"/>
                      <a:t>, 20.68, 96.69%</a:t>
                    </a:r>
                  </a:p>
                </c:rich>
              </c:tx>
              <c:numFmt formatCode="0%" sourceLinked="0"/>
              <c:spPr>
                <a:noFill/>
                <a:ln w="18990">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34711286089238802"/>
                      <c:h val="0.25070821529745002"/>
                    </c:manualLayout>
                  </c15:layout>
                </c:ext>
              </c:extLst>
            </c:dLbl>
            <c:dLbl>
              <c:idx val="1"/>
              <c:layout>
                <c:manualLayout>
                  <c:x val="-0.220250989189477"/>
                  <c:y val="8.8942772016489702E-2"/>
                </c:manualLayout>
              </c:layout>
              <c:tx>
                <c:rich>
                  <a:bodyPr rot="0" spcFirstLastPara="0" vertOverflow="ellipsis" vert="horz" wrap="square" lIns="38100" tIns="19050" rIns="38100" bIns="19050" anchor="ctr" anchorCtr="1"/>
                  <a:lstStyle/>
                  <a:p>
                    <a:pPr defTabSz="914400">
                      <a:defRPr lang="zh-CN" sz="112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公务接待费支出决算</a:t>
                    </a:r>
                    <a:r>
                      <a:rPr lang="en-US" altLang="zh-CN"/>
                      <a:t>, 0.71, 3.3%</a:t>
                    </a:r>
                  </a:p>
                </c:rich>
              </c:tx>
              <c:numFmt formatCode="0%" sourceLinked="0"/>
              <c:spPr>
                <a:noFill/>
                <a:ln w="18990">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1719160104986901"/>
                      <c:h val="0.25070821529745002"/>
                    </c:manualLayout>
                  </c15:layout>
                </c:ext>
              </c:extLst>
            </c:dLbl>
            <c:numFmt formatCode="0%" sourceLinked="0"/>
            <c:spPr>
              <a:noFill/>
              <a:ln w="18990">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Sheet1!$B$1:$C$1</c:f>
              <c:strCache>
                <c:ptCount val="2"/>
                <c:pt idx="0">
                  <c:v>公务用车购置及运行维护费支出决算</c:v>
                </c:pt>
                <c:pt idx="1">
                  <c:v>公务接待费支出决算</c:v>
                </c:pt>
              </c:strCache>
            </c:strRef>
          </c:cat>
          <c:val>
            <c:numRef>
              <c:f>Sheet1!$B$2:$C$2</c:f>
              <c:numCache>
                <c:formatCode>General</c:formatCode>
                <c:ptCount val="2"/>
                <c:pt idx="0">
                  <c:v>20.68</c:v>
                </c:pt>
                <c:pt idx="1">
                  <c:v>0.71</c:v>
                </c:pt>
              </c:numCache>
            </c:numRef>
          </c:val>
        </c:ser>
        <c:dLbls>
          <c:showLegendKey val="0"/>
          <c:showVal val="1"/>
          <c:showCatName val="1"/>
          <c:showSerName val="0"/>
          <c:showPercent val="1"/>
          <c:showBubbleSize val="0"/>
          <c:showLeaderLines val="1"/>
        </c:dLbls>
        <c:firstSliceAng val="0"/>
      </c:pieChart>
      <c:spPr>
        <a:solidFill>
          <a:srgbClr val="C0C0C0"/>
        </a:solidFill>
        <a:ln w="9495">
          <a:solidFill>
            <a:srgbClr val="808080"/>
          </a:solidFill>
          <a:prstDash val="solid"/>
        </a:ln>
      </c:spPr>
    </c:plotArea>
    <c:legend>
      <c:legendPos val="r"/>
      <c:legendEntry>
        <c:idx val="0"/>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Entry>
      <c:legendEntry>
        <c:idx val="1"/>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Entry>
      <c:layout>
        <c:manualLayout>
          <c:xMode val="edge"/>
          <c:yMode val="edge"/>
          <c:x val="0.68600000000000005"/>
          <c:y val="0.35761589403973498"/>
          <c:w val="0.30599999999999999"/>
          <c:h val="0.31788079470198799"/>
        </c:manualLayout>
      </c:layout>
      <c:overlay val="0"/>
      <c:spPr>
        <a:noFill/>
        <a:ln w="2374">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noFill/>
    <a:ln w="6350" cap="flat" cmpd="sng" algn="ctr">
      <a:noFill/>
      <a:prstDash val="solid"/>
      <a:round/>
    </a:ln>
  </c:spPr>
  <c:txPr>
    <a:bodyPr/>
    <a:lstStyle/>
    <a:p>
      <a:pPr>
        <a:defRPr lang="zh-CN" sz="112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996</Words>
  <Characters>5680</Characters>
  <Application>Microsoft Office Word</Application>
  <DocSecurity>0</DocSecurity>
  <Lines>47</Lines>
  <Paragraphs>13</Paragraphs>
  <ScaleCrop>false</ScaleCrop>
  <Company>四川省财政厅</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赵艳梅</cp:lastModifiedBy>
  <cp:revision>59</cp:revision>
  <cp:lastPrinted>2023-08-03T02:35:00Z</cp:lastPrinted>
  <dcterms:created xsi:type="dcterms:W3CDTF">2020-08-08T01:49:00Z</dcterms:created>
  <dcterms:modified xsi:type="dcterms:W3CDTF">2024-09-18T02:50:00Z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9544CE0EDECC4E13AC330AB282DC9BBF_12</vt:lpwstr>
  </property>
</Properties>
</file>